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239" w:lineRule="exact"/>
        <w:ind w:left="2933" w:right="2912"/>
        <w:jc w:val="center"/>
        <w:rPr>
          <w:rFonts w:ascii="宋体" w:eastAsia="宋体"/>
          <w:b/>
          <w:sz w:val="44"/>
          <w:szCs w:val="44"/>
        </w:rPr>
      </w:pPr>
    </w:p>
    <w:tbl>
      <w:tblPr>
        <w:tblStyle w:val="5"/>
        <w:tblW w:w="9667" w:type="dxa"/>
        <w:tblInd w:w="-7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"/>
        <w:gridCol w:w="630"/>
        <w:gridCol w:w="15"/>
        <w:gridCol w:w="2165"/>
        <w:gridCol w:w="3824"/>
        <w:gridCol w:w="839"/>
        <w:gridCol w:w="439"/>
        <w:gridCol w:w="432"/>
        <w:gridCol w:w="1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9667" w:type="dxa"/>
            <w:gridSpan w:val="9"/>
          </w:tcPr>
          <w:p>
            <w:pPr>
              <w:pStyle w:val="7"/>
              <w:spacing w:line="239" w:lineRule="exact"/>
              <w:jc w:val="both"/>
              <w:rPr>
                <w:rFonts w:ascii="宋体" w:eastAsia="宋体"/>
                <w:b/>
                <w:sz w:val="44"/>
                <w:szCs w:val="44"/>
              </w:rPr>
            </w:pPr>
          </w:p>
          <w:p>
            <w:pPr>
              <w:pStyle w:val="7"/>
              <w:jc w:val="both"/>
              <w:rPr>
                <w:rFonts w:ascii="宋体" w:eastAsia="宋体"/>
                <w:b/>
                <w:sz w:val="44"/>
                <w:szCs w:val="44"/>
              </w:rPr>
            </w:pPr>
            <w:r>
              <w:rPr>
                <w:rFonts w:hint="eastAsia" w:ascii="宋体" w:eastAsia="宋体"/>
                <w:b/>
                <w:sz w:val="44"/>
                <w:szCs w:val="44"/>
                <w:lang w:val="en-US" w:bidi="ar-SA"/>
              </w:rPr>
              <w:drawing>
                <wp:inline distT="0" distB="0" distL="114300" distR="114300">
                  <wp:extent cx="479425" cy="479425"/>
                  <wp:effectExtent l="0" t="0" r="15875" b="15875"/>
                  <wp:docPr id="2" name="图片 2" descr="院徽（无背景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院徽（无背景）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425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eastAsia="宋体"/>
                <w:b/>
                <w:sz w:val="44"/>
                <w:szCs w:val="44"/>
                <w:lang w:val="en-US"/>
              </w:rPr>
              <w:t xml:space="preserve">               </w:t>
            </w:r>
            <w:r>
              <w:rPr>
                <w:rFonts w:hint="eastAsia" w:ascii="宋体" w:eastAsia="宋体"/>
                <w:b/>
                <w:sz w:val="44"/>
                <w:szCs w:val="44"/>
              </w:rPr>
              <w:t>体检项目</w:t>
            </w:r>
          </w:p>
          <w:p>
            <w:pPr>
              <w:pStyle w:val="7"/>
              <w:jc w:val="both"/>
              <w:rPr>
                <w:rFonts w:ascii="宋体" w:eastAsia="宋体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46" w:type="dxa"/>
            <w:gridSpan w:val="2"/>
            <w:vMerge w:val="restart"/>
            <w:shd w:val="clear" w:color="auto" w:fill="FFFF00"/>
            <w:vAlign w:val="center"/>
          </w:tcPr>
          <w:p>
            <w:pPr>
              <w:pStyle w:val="7"/>
              <w:jc w:val="center"/>
              <w:rPr>
                <w:rFonts w:ascii="宋体" w:eastAsia="宋体"/>
                <w:b/>
                <w:sz w:val="21"/>
                <w:szCs w:val="21"/>
              </w:rPr>
            </w:pPr>
            <w:r>
              <w:rPr>
                <w:rFonts w:hint="eastAsia" w:ascii="宋体" w:eastAsia="宋体"/>
                <w:b/>
                <w:sz w:val="21"/>
                <w:szCs w:val="21"/>
              </w:rPr>
              <w:t>体检类别</w:t>
            </w:r>
          </w:p>
        </w:tc>
        <w:tc>
          <w:tcPr>
            <w:tcW w:w="2180" w:type="dxa"/>
            <w:gridSpan w:val="2"/>
            <w:vMerge w:val="restart"/>
            <w:shd w:val="clear" w:color="auto" w:fill="FFFF00"/>
            <w:vAlign w:val="center"/>
          </w:tcPr>
          <w:p>
            <w:pPr>
              <w:pStyle w:val="7"/>
              <w:ind w:firstLine="843" w:firstLineChars="400"/>
              <w:jc w:val="both"/>
              <w:rPr>
                <w:rFonts w:ascii="宋体" w:eastAsia="宋体"/>
                <w:b/>
                <w:sz w:val="21"/>
                <w:szCs w:val="21"/>
              </w:rPr>
            </w:pPr>
            <w:r>
              <w:rPr>
                <w:rFonts w:hint="eastAsia" w:ascii="宋体" w:eastAsia="宋体"/>
                <w:b/>
                <w:sz w:val="21"/>
                <w:szCs w:val="21"/>
              </w:rPr>
              <w:t>体检项目</w:t>
            </w:r>
          </w:p>
        </w:tc>
        <w:tc>
          <w:tcPr>
            <w:tcW w:w="3824" w:type="dxa"/>
            <w:vMerge w:val="restart"/>
            <w:shd w:val="clear" w:color="auto" w:fill="FFFF00"/>
            <w:vAlign w:val="center"/>
          </w:tcPr>
          <w:p>
            <w:pPr>
              <w:pStyle w:val="7"/>
              <w:jc w:val="center"/>
              <w:rPr>
                <w:rFonts w:ascii="宋体" w:eastAsia="宋体"/>
                <w:b/>
                <w:sz w:val="21"/>
                <w:szCs w:val="21"/>
              </w:rPr>
            </w:pPr>
            <w:r>
              <w:rPr>
                <w:rFonts w:hint="eastAsia" w:ascii="宋体" w:eastAsia="宋体"/>
                <w:b/>
                <w:sz w:val="21"/>
                <w:szCs w:val="21"/>
              </w:rPr>
              <w:t>临床意义</w:t>
            </w:r>
          </w:p>
        </w:tc>
        <w:tc>
          <w:tcPr>
            <w:tcW w:w="839" w:type="dxa"/>
            <w:vMerge w:val="restart"/>
            <w:shd w:val="clear" w:color="auto" w:fill="FFFF00"/>
            <w:vAlign w:val="center"/>
          </w:tcPr>
          <w:p>
            <w:pPr>
              <w:pStyle w:val="7"/>
              <w:spacing w:line="150" w:lineRule="atLeast"/>
              <w:jc w:val="center"/>
              <w:rPr>
                <w:rFonts w:ascii="宋体" w:eastAsia="宋体"/>
                <w:b/>
                <w:sz w:val="21"/>
                <w:szCs w:val="21"/>
              </w:rPr>
            </w:pPr>
            <w:r>
              <w:rPr>
                <w:rFonts w:hint="eastAsia" w:ascii="宋体" w:eastAsia="宋体"/>
                <w:b/>
                <w:sz w:val="21"/>
                <w:szCs w:val="21"/>
              </w:rPr>
              <w:t>男性</w:t>
            </w:r>
          </w:p>
        </w:tc>
        <w:tc>
          <w:tcPr>
            <w:tcW w:w="871" w:type="dxa"/>
            <w:gridSpan w:val="2"/>
            <w:shd w:val="clear" w:color="auto" w:fill="FFFF00"/>
            <w:vAlign w:val="center"/>
          </w:tcPr>
          <w:p>
            <w:pPr>
              <w:pStyle w:val="7"/>
              <w:ind w:firstLine="211" w:firstLineChars="100"/>
              <w:jc w:val="both"/>
              <w:rPr>
                <w:rFonts w:ascii="宋体" w:eastAsia="宋体"/>
                <w:b/>
                <w:sz w:val="21"/>
                <w:szCs w:val="21"/>
              </w:rPr>
            </w:pPr>
            <w:r>
              <w:rPr>
                <w:rFonts w:hint="eastAsia" w:ascii="宋体" w:eastAsia="宋体"/>
                <w:b/>
                <w:sz w:val="21"/>
                <w:szCs w:val="21"/>
              </w:rPr>
              <w:t>女性</w:t>
            </w:r>
          </w:p>
        </w:tc>
        <w:tc>
          <w:tcPr>
            <w:tcW w:w="1007" w:type="dxa"/>
            <w:vMerge w:val="restart"/>
            <w:shd w:val="clear" w:color="auto" w:fill="FFFF00"/>
            <w:vAlign w:val="center"/>
          </w:tcPr>
          <w:p>
            <w:pPr>
              <w:pStyle w:val="7"/>
              <w:jc w:val="both"/>
              <w:rPr>
                <w:rFonts w:ascii="宋体" w:eastAsia="宋体"/>
                <w:b/>
                <w:sz w:val="21"/>
                <w:szCs w:val="21"/>
              </w:rPr>
            </w:pPr>
            <w:r>
              <w:rPr>
                <w:rFonts w:hint="eastAsia" w:ascii="宋体" w:eastAsia="宋体"/>
                <w:b/>
                <w:sz w:val="18"/>
                <w:szCs w:val="18"/>
              </w:rPr>
              <w:t>项目单价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946" w:type="dxa"/>
            <w:gridSpan w:val="2"/>
            <w:vMerge w:val="continue"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gridSpan w:val="2"/>
            <w:vMerge w:val="continue"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vMerge w:val="continue"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shd w:val="clear" w:color="auto" w:fill="FFFF00"/>
            <w:vAlign w:val="center"/>
          </w:tcPr>
          <w:p>
            <w:pPr>
              <w:pStyle w:val="7"/>
              <w:jc w:val="center"/>
              <w:rPr>
                <w:rFonts w:ascii="宋体" w:eastAsia="宋体"/>
                <w:b/>
                <w:sz w:val="12"/>
              </w:rPr>
            </w:pPr>
            <w:r>
              <w:rPr>
                <w:rFonts w:hint="eastAsia" w:ascii="宋体" w:eastAsia="宋体"/>
                <w:b/>
                <w:sz w:val="12"/>
              </w:rPr>
              <w:t>未婚</w:t>
            </w:r>
          </w:p>
        </w:tc>
        <w:tc>
          <w:tcPr>
            <w:tcW w:w="432" w:type="dxa"/>
            <w:shd w:val="clear" w:color="auto" w:fill="FFFF00"/>
            <w:vAlign w:val="center"/>
          </w:tcPr>
          <w:p>
            <w:pPr>
              <w:pStyle w:val="7"/>
              <w:jc w:val="center"/>
              <w:rPr>
                <w:rFonts w:ascii="宋体" w:eastAsia="宋体"/>
                <w:b/>
                <w:sz w:val="12"/>
              </w:rPr>
            </w:pPr>
            <w:r>
              <w:rPr>
                <w:rFonts w:hint="eastAsia" w:ascii="宋体" w:eastAsia="宋体"/>
                <w:b/>
                <w:sz w:val="12"/>
              </w:rPr>
              <w:t>已婚</w:t>
            </w:r>
          </w:p>
        </w:tc>
        <w:tc>
          <w:tcPr>
            <w:tcW w:w="1007" w:type="dxa"/>
            <w:vMerge w:val="continue"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16" w:type="dxa"/>
            <w:vMerge w:val="restart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spacing w:line="242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科室检查</w:t>
            </w: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一般检查</w:t>
            </w:r>
          </w:p>
        </w:tc>
        <w:tc>
          <w:tcPr>
            <w:tcW w:w="2180" w:type="dxa"/>
            <w:gridSpan w:val="2"/>
          </w:tcPr>
          <w:p>
            <w:pPr>
              <w:pStyle w:val="7"/>
              <w:ind w:hanging="230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 xml:space="preserve">身高身高、体重、体重指数（BMI） 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血压（BP）、脉搏（P）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测量人体基本健康指标。如：血压是否正常，有无体重偏低、超重或肥胖。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16" w:type="dxa"/>
            <w:vMerge w:val="continue"/>
            <w:tcBorders>
              <w:top w:val="nil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内科</w:t>
            </w:r>
          </w:p>
        </w:tc>
        <w:tc>
          <w:tcPr>
            <w:tcW w:w="2180" w:type="dxa"/>
            <w:gridSpan w:val="2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心、肺听诊，腹部视触诊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临床检查心肺有无异常、肝脾有无肿大，腹部能否扪及包块等。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ind w:firstLine="260" w:firstLineChars="200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 xml:space="preserve"> ¥5.00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316" w:type="dxa"/>
            <w:vMerge w:val="continue"/>
            <w:tcBorders>
              <w:top w:val="nil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外科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皮肤、浅表淋巴结、甲状腺、脊柱四肢关节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194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通过体格检查方法，检查外科相关部位的基本情况，发现常见外科疾病的重要征兆，或初步排除外科常见疾病。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ind w:firstLine="329" w:firstLineChars="249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ind w:firstLine="132" w:firstLineChars="100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ind w:firstLine="132" w:firstLineChars="100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ind w:firstLine="260" w:firstLineChars="200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16" w:type="dxa"/>
            <w:vMerge w:val="continue"/>
            <w:tcBorders>
              <w:top w:val="nil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Merge w:val="restart"/>
            <w:tcBorders>
              <w:top w:val="nil"/>
            </w:tcBorders>
            <w:vAlign w:val="center"/>
          </w:tcPr>
          <w:p>
            <w:pPr>
              <w:tabs>
                <w:tab w:val="left" w:pos="222"/>
              </w:tabs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ab/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妇科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jc w:val="both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妇科常规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jc w:val="both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外阴、阴道、子宫颈等妇科常规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7"/>
              <w:ind w:firstLine="329" w:firstLineChars="249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ind w:firstLine="260" w:firstLineChars="200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16" w:type="dxa"/>
            <w:vMerge w:val="continue"/>
            <w:tcBorders>
              <w:top w:val="nil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白带常规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白带常规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7"/>
              <w:ind w:firstLine="394" w:firstLineChars="298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  <w:t>/</w:t>
            </w: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ind w:firstLine="260" w:firstLineChars="200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16" w:type="dxa"/>
            <w:vMerge w:val="continue"/>
            <w:tcBorders>
              <w:top w:val="nil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乳腺常规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通过视诊及触诊检查来检查乳房的形态、乳房皮肤表面的情况、乳头乳晕的情况、乳房肿块、乳头溢乳等情况。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7"/>
              <w:ind w:firstLine="394" w:firstLineChars="298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  <w:t>/</w:t>
            </w: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7"/>
              <w:ind w:firstLine="132" w:firstLineChars="100"/>
              <w:jc w:val="both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ind w:firstLine="260" w:firstLineChars="200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8.00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16" w:type="dxa"/>
            <w:vMerge w:val="continue"/>
            <w:tcBorders>
              <w:top w:val="nil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液基薄层细胞学检测</w:t>
            </w: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（TCT）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目前国内外替代传统宫颈涂片检测宫颈癌最准确的检测技术 ，诊断率达92%以上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  <w:t xml:space="preserve"> /</w:t>
            </w: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  <w:t>/</w:t>
            </w:r>
          </w:p>
        </w:tc>
        <w:tc>
          <w:tcPr>
            <w:tcW w:w="432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150.00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16" w:type="dxa"/>
            <w:vMerge w:val="continue"/>
            <w:tcBorders>
              <w:top w:val="nil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高危人乳头瘤病毒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检测是否感染人乳头瘤病毒（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HPV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）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  <w:t>/</w:t>
            </w: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340.00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316" w:type="dxa"/>
            <w:vMerge w:val="continue"/>
            <w:tcBorders>
              <w:top w:val="nil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心电图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十二导联心电图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195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用于心律失常（如早搏、传导障碍等）、心肌缺血、心肌梗塞、心房、心室肥大等诊</w:t>
            </w:r>
          </w:p>
          <w:p>
            <w:pPr>
              <w:pStyle w:val="7"/>
              <w:spacing w:line="181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断。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33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316" w:type="dxa"/>
            <w:vMerge w:val="continue"/>
            <w:tcBorders>
              <w:top w:val="nil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肺功能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肺功能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测量肺活量和气管的通气能力，是了解耐缺氧能力及判断哮喘的重要依据 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60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316" w:type="dxa"/>
            <w:vMerge w:val="restart"/>
            <w:vAlign w:val="center"/>
          </w:tcPr>
          <w:p>
            <w:pPr>
              <w:pStyle w:val="7"/>
              <w:spacing w:line="242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实验室检查</w:t>
            </w: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血常规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血液分析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24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项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通过血常规检查发现血液方面的问题 ，评价骨髓功能，有助于临床急慢性感染，病毒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性疾病的判断；有助于了解有无贫血及贫血分类；有助于出血性疾病的诊断等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尿液全套分析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尿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常规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+镜检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通过尿常规检查，对泌尿系疾病的诊断、疗效观察有重要意义。尿糖检查是作为糖尿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病筛查和病情判断的指标。并可观察一些全身性疾病的异常表现。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30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尿妊娠试验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尿液人绒毛膜促性腺激素定性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辅助怀孕检查或者相关疾病筛查。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  <w:lang w:val="en-US"/>
              </w:rPr>
              <w:t>/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8.00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316" w:type="dxa"/>
            <w:vMerge w:val="restart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肝功能全套Ⅰ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血清总蛋白测定（TP）、血清白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蛋白测定（A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l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b）、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血清球蛋白（计算值）、血清白/球比值（计算值）、血清总胆红素测定（T-BiL）、血清直接胆红素测定（D-BiL）(结合胆红素)、血清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间接胆红（I-BiL）（计算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值）（非结合胆红素）、血清丙氨酸氨基转移酶测定（ALT）、血清天门冬氨酸氨基转移酶测定（AST）、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血清谷草/谷丙（计算值）、血清γ-谷氨酰胺基转移酶测定（GGT）、血清碱性磷酸酶测定（ALP）、血清总胆汁酸测定（TBA）、血清前白蛋白测定（PA）、血清胆碱酯酶测定（CHE）、血清腺苷脱氨酶测定（ADA）、血清α-L-岩藻糖苷酶测定（AFU）</w:t>
            </w:r>
          </w:p>
        </w:tc>
        <w:tc>
          <w:tcPr>
            <w:tcW w:w="3824" w:type="dxa"/>
            <w:vMerge w:val="restart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spacing w:line="199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提示肝胆系统疾病：急性传染性肝炎，中毒性肝炎，脂肪肝，胆管炎，胆囊炎，药物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中毒性肝炎，酒精性肝炎和黄疸等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125.20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肝功能全套Ⅱ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血清总蛋白测定（TP）、血清白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蛋白测定（A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l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b）、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血清球蛋白（计算值）、血清白/球比值（计算值）、血清总胆红素测定（T-BiL）、血清直接胆红素测定（D-BiL）(结合胆红素)、血清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间接胆红（I-BiL）（计算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值）（非结合胆红素）、血清丙氨酸氨基转移酶测定（ALT）、血清天门冬氨酸氨基转移酶测定（AST）、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血清谷草/谷丙（计算值）、血清γ-谷氨酰胺基转移酶测定（GGT）、血清碱性磷酸酶测定（ALP）、血清总胆汁酸测定（TBA）</w:t>
            </w:r>
          </w:p>
        </w:tc>
        <w:tc>
          <w:tcPr>
            <w:tcW w:w="3824" w:type="dxa"/>
            <w:vMerge w:val="continue"/>
            <w:tcBorders>
              <w:top w:val="single" w:color="auto" w:sz="4" w:space="0"/>
            </w:tcBorders>
            <w:vAlign w:val="center"/>
          </w:tcPr>
          <w:p>
            <w:pPr>
              <w:pStyle w:val="7"/>
              <w:spacing w:line="199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839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71.20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both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小肝功能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血清总蛋白测定（TP）、血清白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蛋白测定（A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l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b）、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血清球蛋白（计算值）、血清白/球比值（计算值）、血清总胆红素测定（T-BiL）、血清直接胆红素测定（D-BiL）(结合胆红素)、血清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间接胆红（I-BiL）（计算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值）（非结合胆红素）、血清丙氨酸氨基转移酶测定（ALT）、血清天门冬氨酸氨基转移酶测定（AST）、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血清谷草/谷丙（计算值）</w:t>
            </w:r>
          </w:p>
        </w:tc>
        <w:tc>
          <w:tcPr>
            <w:tcW w:w="3824" w:type="dxa"/>
            <w:vMerge w:val="continue"/>
            <w:tcBorders>
              <w:top w:val="single" w:color="auto" w:sz="4" w:space="0"/>
            </w:tcBorders>
            <w:vAlign w:val="center"/>
          </w:tcPr>
          <w:p>
            <w:pPr>
              <w:pStyle w:val="7"/>
              <w:spacing w:line="199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839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34.00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乙肝五项指标（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定性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）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HBSAg、HBSAb、HBeAg、HBeAb、HBcAb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199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检测血液中的乙肝病毒的血清血液标志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50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乙肝五项指标（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定量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）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HBSAg、HBSAb、HBeAg、HBeAb、HBcAb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199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检测血液中的乙肝病毒的血清血液标志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120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血脂全套Ⅰ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血清同型半胱氨酸测定（HCY）、血清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总胆固醇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测定（CHOL）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甘油三脂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测定（TG）、血清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高密度脂蛋白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测定（HDL）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低密度脂蛋白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测定（LDL）、血清载脂蛋白A1测定（ApoA1）、血清载脂蛋白B测定（ApoB）、脂蛋白α（Lpα）</w:t>
            </w:r>
          </w:p>
        </w:tc>
        <w:tc>
          <w:tcPr>
            <w:tcW w:w="3824" w:type="dxa"/>
            <w:vMerge w:val="restart"/>
            <w:vAlign w:val="center"/>
          </w:tcPr>
          <w:p>
            <w:pPr>
              <w:pStyle w:val="7"/>
              <w:spacing w:line="194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 xml:space="preserve">血清中胆固醇含量过高，易引起脂肪肝、动脉硬化、脑中风、胆结石等疾病。隆低：恶 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液质、甲减、营养不良、肝功能严重损害、脂蛋白缺乏症等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109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血脂全套Ⅱ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总胆固醇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测定（CHOL）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甘油三脂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测定（TG）、血清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高密度脂蛋白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测定（HDL）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低密度脂蛋白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测定（LDL）、血清载脂蛋白A1测定（ApoA1）、血清载脂蛋白B测定（ApoB）、脂蛋白α（Lpα）</w:t>
            </w:r>
          </w:p>
        </w:tc>
        <w:tc>
          <w:tcPr>
            <w:tcW w:w="3824" w:type="dxa"/>
            <w:vMerge w:val="continue"/>
            <w:vAlign w:val="center"/>
          </w:tcPr>
          <w:p>
            <w:pPr>
              <w:pStyle w:val="7"/>
              <w:spacing w:line="194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64.00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血脂全套Ⅲ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血清同型半胱氨酸测定（HCY）、血清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总胆固醇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测定（CHOL）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甘油三脂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测定（TG）、血清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高密度脂蛋白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测定（HDL）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低密度脂蛋白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测定（LDL）、脂蛋白α（Lpα）</w:t>
            </w:r>
          </w:p>
        </w:tc>
        <w:tc>
          <w:tcPr>
            <w:tcW w:w="3824" w:type="dxa"/>
            <w:vMerge w:val="continue"/>
            <w:vAlign w:val="center"/>
          </w:tcPr>
          <w:p>
            <w:pPr>
              <w:pStyle w:val="7"/>
              <w:spacing w:line="194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50.00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血脂全套Ⅳ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总胆固醇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测定（CHOL）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甘油三脂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测定（TG）、血清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高密度脂蛋白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测定（HDL）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低密度脂蛋白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测定（LDL）</w:t>
            </w:r>
          </w:p>
        </w:tc>
        <w:tc>
          <w:tcPr>
            <w:tcW w:w="3824" w:type="dxa"/>
            <w:vMerge w:val="continue"/>
            <w:vAlign w:val="center"/>
          </w:tcPr>
          <w:p>
            <w:pPr>
              <w:pStyle w:val="7"/>
              <w:spacing w:line="194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24.00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空腹血糖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血糖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2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评价人体空腹状态下糖代谢是否正常 ，评估糖尿病患者空腹血糖控制是否达标  。空腹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血糖是诊断糖代谢紊乱的最常用和最重要指标 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5.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肾功能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全套Ⅰ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血清同型半胱氨酸测定（HCY）、血清尿素测定（BUN）、血清肌酐测定（CR）、血清尿酸测定（UA）、血清胱抑素C测定（Cys-C）、血清β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vertAlign w:val="subscript"/>
                <w:lang w:val="en-US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-微球蛋白测定（β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vertAlign w:val="subscript"/>
                <w:lang w:val="en-US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-MG）</w:t>
            </w:r>
          </w:p>
        </w:tc>
        <w:tc>
          <w:tcPr>
            <w:tcW w:w="3824" w:type="dxa"/>
            <w:vMerge w:val="restart"/>
            <w:vAlign w:val="center"/>
          </w:tcPr>
          <w:p>
            <w:pPr>
              <w:pStyle w:val="7"/>
              <w:spacing w:line="207" w:lineRule="exact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</w:pP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评价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急慢性肾功能不全、肾小球肾炎、心衰、高血压、痛风、尿崩症、肌萎缩、恶性贫血、先天性黄嘌呤核甘磷酸化酶缺乏症、胃肠道出血、严重脱水、肾功能衰竭、前列腺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肥大、尿路结石</w:t>
            </w:r>
            <w:r>
              <w:rPr>
                <w:rFonts w:hint="eastAsia" w:cs="微软雅黑"/>
                <w:b/>
                <w:bCs/>
                <w:w w:val="105"/>
                <w:sz w:val="13"/>
                <w:szCs w:val="13"/>
                <w:lang w:val="en-US" w:eastAsia="zh-CN"/>
              </w:rPr>
              <w:t>的重要指标。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100.50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肾功能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全套Ⅱ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血清尿素测定（BUN）、血清肌酐测定（CR）、血清尿酸测定（UA）、血清胱抑素C测定（Cys-C）、血清β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vertAlign w:val="subscript"/>
                <w:lang w:val="en-US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-微球蛋白测定（β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vertAlign w:val="subscript"/>
                <w:lang w:val="en-US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-MG）</w:t>
            </w:r>
          </w:p>
        </w:tc>
        <w:tc>
          <w:tcPr>
            <w:tcW w:w="3824" w:type="dxa"/>
            <w:vMerge w:val="continue"/>
            <w:vAlign w:val="center"/>
          </w:tcPr>
          <w:p>
            <w:pPr>
              <w:pStyle w:val="7"/>
              <w:spacing w:line="194" w:lineRule="exact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55.50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肾功能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全套Ⅲ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血清尿素测定（BUN）、血清肌酐测定（CR）、血清尿酸测定（UA）、血清胱抑素C测定（Cys-C）</w:t>
            </w:r>
          </w:p>
        </w:tc>
        <w:tc>
          <w:tcPr>
            <w:tcW w:w="3824" w:type="dxa"/>
            <w:vMerge w:val="continue"/>
            <w:vAlign w:val="center"/>
          </w:tcPr>
          <w:p>
            <w:pPr>
              <w:pStyle w:val="7"/>
              <w:spacing w:line="194" w:lineRule="exact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45.50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肾功能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全套Ⅳ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血清尿素测定（BUN）、血清肌酐测定（CR）、血清尿酸测定（UA）</w:t>
            </w:r>
          </w:p>
        </w:tc>
        <w:tc>
          <w:tcPr>
            <w:tcW w:w="3824" w:type="dxa"/>
            <w:vMerge w:val="continue"/>
            <w:vAlign w:val="center"/>
          </w:tcPr>
          <w:p>
            <w:pPr>
              <w:pStyle w:val="7"/>
              <w:spacing w:line="194" w:lineRule="exact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17.50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血型鉴定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ABO正反定型、RH（抗-D）血型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194" w:lineRule="exact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18.00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梅毒抗体二项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梅毒抗体定量、甲苯胺红不加热试验（TRUST）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194" w:lineRule="exact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筛查梅毒抗体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35.00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艾滋病毒检测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HIV Ag/Ab 定量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194" w:lineRule="exact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筛查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HIV病毒抗体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50.00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丙肝病毒抗体检测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丙肝病毒抗体测定（Anti-HCV）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194" w:lineRule="exact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筛查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HCV病毒抗体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810" w:type="dxa"/>
            <w:gridSpan w:val="3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癌胚抗原测定(CEA)定量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26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为广谱肿瘤标志物，可提示直肠癌、结肠癌、肺癌、乳腺癌、胰腺癌等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37.5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810" w:type="dxa"/>
            <w:gridSpan w:val="3"/>
            <w:tcBorders>
              <w:top w:val="nil"/>
            </w:tcBorders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甲胎蛋白测定(AFP)定量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26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可提示有无原发性肝癌，生殖腺胚胎性肿瘤，肝硬化等。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37.5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Align w:val="center"/>
          </w:tcPr>
          <w:p>
            <w:pPr>
              <w:pStyle w:val="7"/>
              <w:spacing w:line="143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肿瘤四项（男）</w:t>
            </w: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AFP、CEA、CA125、TPSA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可提示肝癌、肺癌、前列腺癌、胰腺癌、胃癌等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∕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∕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195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Align w:val="center"/>
          </w:tcPr>
          <w:p>
            <w:pPr>
              <w:pStyle w:val="7"/>
              <w:spacing w:line="143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肿瘤四项（女）</w:t>
            </w: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AFP、CEA、CA125、CA153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可提示肝癌、肺癌、胰腺癌、乳腺癌、胃癌等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/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195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Align w:val="center"/>
          </w:tcPr>
          <w:p>
            <w:pPr>
              <w:pStyle w:val="7"/>
              <w:spacing w:line="143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肿瘤五项（男）</w:t>
            </w: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AFP、CEA、TPSA、CA125、CA199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可提示肝癌、肺癌、前列腺癌、胰腺癌、胃癌等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∕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∕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2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55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Align w:val="center"/>
          </w:tcPr>
          <w:p>
            <w:pPr>
              <w:pStyle w:val="7"/>
              <w:spacing w:line="143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肿瘤五项（女）</w:t>
            </w: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AFP、CEA、CA125、CA153、CA199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可提示肝癌、肺癌、胰腺癌、乳腺癌、胃癌等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/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255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Align w:val="center"/>
          </w:tcPr>
          <w:p>
            <w:pPr>
              <w:pStyle w:val="7"/>
              <w:spacing w:line="143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肿瘤六项（男）</w:t>
            </w: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AFP、CEA、TPSA、FPSA、CA125、CA199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可提示肝癌、肺癌、前列腺癌、胰腺癌、胃癌等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∕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∕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3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Align w:val="center"/>
          </w:tcPr>
          <w:p>
            <w:pPr>
              <w:pStyle w:val="7"/>
              <w:spacing w:line="143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肿瘤六项（女）</w:t>
            </w: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AFP、CEA、CA125、CA153、CA199、CA50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可提示肝癌、肺癌、胰腺癌、乳腺癌、胃癌等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/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3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316" w:type="dxa"/>
            <w:vMerge w:val="continue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Align w:val="center"/>
          </w:tcPr>
          <w:p>
            <w:pPr>
              <w:pStyle w:val="7"/>
              <w:spacing w:line="143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甲状腺功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能五项</w:t>
            </w: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游离甲状腺素（FT4）、游离三碘甲状腺原氨酸（FT3）、三碘甲状腺原氨酸（TT3）、四碘甲状腺原氨酸（TT4）、促甲状腺素（TSH）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评价甲状腺功能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188.00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16" w:type="dxa"/>
            <w:vMerge w:val="restart"/>
          </w:tcPr>
          <w:p>
            <w:pPr>
              <w:pStyle w:val="7"/>
              <w:spacing w:line="242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restart"/>
            <w:vAlign w:val="center"/>
          </w:tcPr>
          <w:p>
            <w:pPr>
              <w:pStyle w:val="7"/>
              <w:jc w:val="both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彩超</w:t>
            </w: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上腹部彩超</w:t>
            </w: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（肝、胆、胰、脾）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0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通过彩色超声仪器更清晰地对人体腹部内脏器官状况和各种病变   （如肿瘤、结石、积水、脂肪肝等）提供高清晰度的彩色动态超声断层图像判断  ，依病灶周围血管情况、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病灶内血流血供情况-良恶性病变鉴别。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男性下腹部彩超</w:t>
            </w: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（前列腺、双肾、膀胱）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1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 xml:space="preserve">在膀胱充盈时，能更清晰地观察前列腺大小、形态、结构等情况，判断有无前列腺增  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大、囊肿、结石，恶性病变等，判断肾动脉狭窄等。</w:t>
            </w:r>
          </w:p>
        </w:tc>
        <w:tc>
          <w:tcPr>
            <w:tcW w:w="839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∕</w:t>
            </w:r>
          </w:p>
        </w:tc>
        <w:tc>
          <w:tcPr>
            <w:tcW w:w="432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∕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赠送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女性下腹部彩超</w:t>
            </w:r>
          </w:p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（子宫附件、双肾、膀胱）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199" w:lineRule="auto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 xml:space="preserve">观察子宫及附件（卵巢、输卵管）大小、形态结构及内部回声的情况，鉴别正常和异  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常，了解病变的性质，判别有无恶性病变，以便尽早处置，判断肾动脉狭窄等。</w:t>
            </w:r>
          </w:p>
        </w:tc>
        <w:tc>
          <w:tcPr>
            <w:tcW w:w="839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∕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赠送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甲状腺超声检查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对甲状腺大小、体积与血流做定性和定量估测，对肿瘤的良、恶性可进行定性或半定性诊断。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81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乳</w:t>
            </w:r>
            <w:r>
              <w:rPr>
                <w:rFonts w:hint="eastAsia" w:cs="微软雅黑"/>
                <w:b/>
                <w:bCs/>
                <w:w w:val="105"/>
                <w:sz w:val="13"/>
                <w:szCs w:val="13"/>
                <w:lang w:val="en-US" w:eastAsia="zh-CN"/>
              </w:rPr>
              <w:t>腺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超声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2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彩色超声检查乳腺疾患准确率远远优于红外线 ，临床上常用于乳腺增生、囊肿、纤维瘤及乳腺癌的鉴别诊断；</w:t>
            </w:r>
          </w:p>
        </w:tc>
        <w:tc>
          <w:tcPr>
            <w:tcW w:w="839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∕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81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6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65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胸部透视</w:t>
            </w:r>
          </w:p>
        </w:tc>
        <w:tc>
          <w:tcPr>
            <w:tcW w:w="3824" w:type="dxa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line="202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实时观察肺部、心脏、肋骨、胸膜、胸壁、纵膈、支气管的病变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6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胸部DR(有片)</w:t>
            </w:r>
          </w:p>
        </w:tc>
        <w:tc>
          <w:tcPr>
            <w:tcW w:w="38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02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检查胸廓(包括肋骨、胸椎、软组织等)胸腔、肺组织,纵膈、心脏等的病变</w:t>
            </w:r>
          </w:p>
        </w:tc>
        <w:tc>
          <w:tcPr>
            <w:tcW w:w="839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¥ 85.00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6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胸部DR(无片)</w:t>
            </w:r>
          </w:p>
        </w:tc>
        <w:tc>
          <w:tcPr>
            <w:tcW w:w="38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02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839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¥ 60.00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restart"/>
            <w:tcBorders>
              <w:top w:val="nil"/>
            </w:tcBorders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放射科</w:t>
            </w: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胸部CT</w:t>
            </w:r>
          </w:p>
        </w:tc>
        <w:tc>
          <w:tcPr>
            <w:tcW w:w="3824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spacing w:line="202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 xml:space="preserve">通过CT观察心、肺、膈在形态生理及功能上的变化，如：肺部肿瘤、结核、肺炎、胸  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膜炎、先心病、肺心病等疾病，能够做出明确的诊断。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222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颈椎侧位片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2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观察椎体前缘连线形成的弧度及生理曲度的变化。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85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颈椎</w:t>
            </w:r>
            <w:r>
              <w:rPr>
                <w:rFonts w:hint="eastAsia" w:cs="微软雅黑"/>
                <w:b/>
                <w:bCs/>
                <w:w w:val="105"/>
                <w:sz w:val="13"/>
                <w:szCs w:val="13"/>
                <w:lang w:val="en-US" w:eastAsia="zh-CN"/>
              </w:rPr>
              <w:t>正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侧位片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2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颈椎正侧位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观察椎体弧度及生理曲度的变化。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160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腰椎侧位片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检查腰椎的骨质情况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85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磁共振（心脏）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适用于心脏肿瘤、先天性心脏病、心肌病、冠心病、瓣膜病等疾病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575.2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磁共振（胸部）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适用于肺结核、肺部感染、胸膜炎、肋间神经炎、心脏病、肺部肿物等等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415.2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磁共振（腹部）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在恶性肿瘤早期，对血管的侵犯以及肿瘤的分期方面优于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CT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575.2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磁共振（颅脑）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观察脑部有无病变，能明确患者是否由脑结构改变所致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575.2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磁共振（颈椎）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检查颈部良恶性肿瘤、颈部血管性疾病、颈部的囊肿性病变、颈部的肉芽肿性病变、颈部的淋巴结肿大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415.2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磁共振（</w:t>
            </w:r>
            <w:r>
              <w:rPr>
                <w:rFonts w:hint="eastAsia" w:cs="微软雅黑"/>
                <w:b/>
                <w:bCs/>
                <w:w w:val="105"/>
                <w:sz w:val="13"/>
                <w:szCs w:val="13"/>
                <w:lang w:val="en-US" w:eastAsia="zh-CN"/>
              </w:rPr>
              <w:t>腰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椎）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</w:pP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对诊断腰椎间盘突出的严重程度、椎间盘突出的类型以及神经压迫的程度有重要意义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415.2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磁共振（</w:t>
            </w:r>
            <w:r>
              <w:rPr>
                <w:rFonts w:hint="eastAsia" w:cs="微软雅黑"/>
                <w:b/>
                <w:bCs/>
                <w:w w:val="105"/>
                <w:sz w:val="13"/>
                <w:szCs w:val="13"/>
                <w:lang w:val="en-US" w:eastAsia="zh-CN"/>
              </w:rPr>
              <w:t>各关节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</w:pP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检查关节内病变，包括半月板损伤、韧带损伤、骨软骨损伤等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415.2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磁共振（胸椎）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检查胸椎结合、胸椎的骨折脱位、胸椎段脊髓神经的病变以及损伤，胸椎及胸椎周围的良恶性肿瘤、转移瘤以及胸椎周围软组织、韧带的急慢性损伤等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415.2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/>
              </w:rPr>
              <w:t>磁共振（盆腔）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检查男性前列腺等生殖器官病变、女性子宫和输卵管及卵巢等生殖器官是否有异常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436.2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7"/>
              <w:spacing w:line="202" w:lineRule="exact"/>
              <w:ind w:firstLine="68" w:firstLineChars="50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胃镜室</w:t>
            </w: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胃镜（电子，可选无痛）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2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直接观察食道、胃和十二指肠的病变，尤其是微小的病变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190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68" w:firstLineChars="50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  <w:lang w:val="en-US" w:eastAsia="zh-CN"/>
              </w:rPr>
            </w:pPr>
            <w:r>
              <w:rPr>
                <w:rFonts w:hint="eastAsia" w:cs="微软雅黑"/>
                <w:b/>
                <w:bCs/>
                <w:w w:val="105"/>
                <w:sz w:val="13"/>
                <w:szCs w:val="13"/>
                <w:lang w:val="en-US" w:eastAsia="zh-CN"/>
              </w:rPr>
              <w:t>肠镜</w:t>
            </w: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（电子，可选无痛</w:t>
            </w:r>
            <w:r>
              <w:rPr>
                <w:rFonts w:hint="eastAsia" w:cs="微软雅黑"/>
                <w:b/>
                <w:bCs/>
                <w:w w:val="105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2" w:lineRule="exact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</w:pP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对于肠道病变的检查有重要意义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cs="微软雅黑"/>
                <w:b/>
                <w:bCs/>
                <w:sz w:val="13"/>
                <w:szCs w:val="13"/>
                <w:lang w:val="en-US" w:eastAsia="zh-CN"/>
              </w:rPr>
              <w:t>26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6" w:type="dxa"/>
            <w:vMerge w:val="continue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</w:tc>
        <w:tc>
          <w:tcPr>
            <w:tcW w:w="645" w:type="dxa"/>
            <w:gridSpan w:val="2"/>
            <w:vMerge w:val="continue"/>
            <w:vAlign w:val="center"/>
          </w:tcPr>
          <w:p>
            <w:pPr>
              <w:pStyle w:val="7"/>
              <w:spacing w:line="202" w:lineRule="exact"/>
              <w:ind w:firstLine="155"/>
              <w:jc w:val="center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</w:p>
        </w:tc>
        <w:tc>
          <w:tcPr>
            <w:tcW w:w="2165" w:type="dxa"/>
            <w:vAlign w:val="center"/>
          </w:tcPr>
          <w:p>
            <w:pPr>
              <w:pStyle w:val="7"/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5"/>
                <w:sz w:val="13"/>
                <w:szCs w:val="13"/>
              </w:rPr>
              <w:t>尿素呼气试验（幽门螺旋杆菌检测）（胃炎史、胃部不适者）</w:t>
            </w:r>
          </w:p>
        </w:tc>
        <w:tc>
          <w:tcPr>
            <w:tcW w:w="3824" w:type="dxa"/>
            <w:vAlign w:val="center"/>
          </w:tcPr>
          <w:p>
            <w:pPr>
              <w:pStyle w:val="7"/>
              <w:spacing w:line="202" w:lineRule="exact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准确检测是否感染幽门螺旋杆菌，早期预防控制胃癌的发生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9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432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w w:val="102"/>
                <w:sz w:val="13"/>
                <w:szCs w:val="13"/>
              </w:rPr>
              <w:t>√</w:t>
            </w:r>
          </w:p>
        </w:tc>
        <w:tc>
          <w:tcPr>
            <w:tcW w:w="1007" w:type="dxa"/>
            <w:vAlign w:val="center"/>
          </w:tcPr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</w:p>
          <w:p>
            <w:pPr>
              <w:pStyle w:val="7"/>
              <w:jc w:val="center"/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/>
              </w:rPr>
              <w:t>80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.00</w:t>
            </w:r>
          </w:p>
        </w:tc>
      </w:tr>
    </w:tbl>
    <w:p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CB01FCB"/>
    <w:rsid w:val="0036477C"/>
    <w:rsid w:val="00621479"/>
    <w:rsid w:val="00711179"/>
    <w:rsid w:val="008D0CEA"/>
    <w:rsid w:val="009A3565"/>
    <w:rsid w:val="00A10FB1"/>
    <w:rsid w:val="00B476C6"/>
    <w:rsid w:val="00C27DB3"/>
    <w:rsid w:val="00CC5812"/>
    <w:rsid w:val="00D33687"/>
    <w:rsid w:val="00D70850"/>
    <w:rsid w:val="00DA29E1"/>
    <w:rsid w:val="00E26469"/>
    <w:rsid w:val="00E665D9"/>
    <w:rsid w:val="00FB7B02"/>
    <w:rsid w:val="00FF6B68"/>
    <w:rsid w:val="04EF4B48"/>
    <w:rsid w:val="07267DCF"/>
    <w:rsid w:val="0C194D57"/>
    <w:rsid w:val="0C2548B7"/>
    <w:rsid w:val="0DFF6966"/>
    <w:rsid w:val="141246AD"/>
    <w:rsid w:val="156C4165"/>
    <w:rsid w:val="1A065F4D"/>
    <w:rsid w:val="276A6CE3"/>
    <w:rsid w:val="3A2D0F4B"/>
    <w:rsid w:val="3FA462FF"/>
    <w:rsid w:val="44E66F34"/>
    <w:rsid w:val="4C251613"/>
    <w:rsid w:val="4E294E8A"/>
    <w:rsid w:val="5CA00156"/>
    <w:rsid w:val="608B5716"/>
    <w:rsid w:val="636B05AB"/>
    <w:rsid w:val="6EA35E88"/>
    <w:rsid w:val="721F6DD6"/>
    <w:rsid w:val="7BA36291"/>
    <w:rsid w:val="7CB01FCB"/>
    <w:rsid w:val="7E6A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able Paragraph"/>
    <w:basedOn w:val="1"/>
    <w:qFormat/>
    <w:uiPriority w:val="1"/>
  </w:style>
  <w:style w:type="character" w:customStyle="1" w:styleId="8">
    <w:name w:val="批注框文本 Char"/>
    <w:basedOn w:val="6"/>
    <w:link w:val="2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9">
    <w:name w:val="页眉 Char"/>
    <w:basedOn w:val="6"/>
    <w:link w:val="4"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0">
    <w:name w:val="页脚 Char"/>
    <w:basedOn w:val="6"/>
    <w:link w:val="3"/>
    <w:uiPriority w:val="0"/>
    <w:rPr>
      <w:rFonts w:ascii="微软雅黑" w:hAnsi="微软雅黑" w:eastAsia="微软雅黑" w:cs="微软雅黑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AE2C6A-6E4C-4678-AAF1-9EFDBEB512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767</Words>
  <Characters>4375</Characters>
  <Lines>36</Lines>
  <Paragraphs>10</Paragraphs>
  <TotalTime>3</TotalTime>
  <ScaleCrop>false</ScaleCrop>
  <LinksUpToDate>false</LinksUpToDate>
  <CharactersWithSpaces>5132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2019-11-07T04:56:00Z</dcterms:created>
  <dc:creator>隱</dc:creator>
  <cp:lastModifiedBy>HiWin10</cp:lastModifiedBy>
  <cp:lastPrinted>2019-11-07T06:07:00Z</cp:lastPrinted>
  <dcterms:modified xsi:type="dcterms:W3CDTF">2023-07-21T02:12:00Z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