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A0EE95">
      <w:pPr>
        <w:adjustRightInd w:val="0"/>
        <w:snapToGrid w:val="0"/>
        <w:spacing w:line="240" w:lineRule="auto"/>
        <w:jc w:val="distribute"/>
        <w:rPr>
          <w:rFonts w:hint="eastAsia" w:asciiTheme="majorEastAsia" w:hAnsiTheme="majorEastAsia" w:eastAsiaTheme="majorEastAsia" w:cstheme="majorEastAsia"/>
          <w:b/>
          <w:bCs/>
          <w:color w:val="FF0000"/>
          <w:spacing w:val="-57"/>
          <w:w w:val="90"/>
          <w:sz w:val="72"/>
          <w:szCs w:val="72"/>
        </w:rPr>
      </w:pPr>
      <w:r>
        <w:rPr>
          <w:rFonts w:hint="eastAsia" w:asciiTheme="majorEastAsia" w:hAnsiTheme="majorEastAsia" w:eastAsiaTheme="majorEastAsia" w:cstheme="majorEastAsia"/>
          <w:b/>
          <w:bCs/>
          <w:color w:val="FF0000"/>
          <w:sz w:val="36"/>
          <w:szCs w:val="36"/>
        </w:rPr>
        <mc:AlternateContent>
          <mc:Choice Requires="wpg">
            <w:drawing>
              <wp:anchor distT="0" distB="0" distL="114300" distR="114300" simplePos="0" relativeHeight="251659264" behindDoc="0" locked="0" layoutInCell="1" allowOverlap="1">
                <wp:simplePos x="0" y="0"/>
                <wp:positionH relativeFrom="column">
                  <wp:posOffset>-426720</wp:posOffset>
                </wp:positionH>
                <wp:positionV relativeFrom="paragraph">
                  <wp:posOffset>664210</wp:posOffset>
                </wp:positionV>
                <wp:extent cx="6119495" cy="33020"/>
                <wp:effectExtent l="0" t="12700" r="14605" b="11430"/>
                <wp:wrapNone/>
                <wp:docPr id="8" name="组合 8"/>
                <wp:cNvGraphicFramePr/>
                <a:graphic xmlns:a="http://schemas.openxmlformats.org/drawingml/2006/main">
                  <a:graphicData uri="http://schemas.microsoft.com/office/word/2010/wordprocessingGroup">
                    <wpg:wgp>
                      <wpg:cNvGrpSpPr/>
                      <wpg:grpSpPr>
                        <a:xfrm>
                          <a:off x="0" y="0"/>
                          <a:ext cx="6119495" cy="33020"/>
                          <a:chOff x="0" y="0"/>
                          <a:chExt cx="6120000" cy="33101"/>
                        </a:xfrm>
                      </wpg:grpSpPr>
                      <wps:wsp>
                        <wps:cNvPr id="1" name="Line 3"/>
                        <wps:cNvCnPr>
                          <a:cxnSpLocks noChangeShapeType="1"/>
                        </wps:cNvCnPr>
                        <wps:spPr bwMode="auto">
                          <a:xfrm flipV="1">
                            <a:off x="0" y="0"/>
                            <a:ext cx="6120000" cy="0"/>
                          </a:xfrm>
                          <a:prstGeom prst="line">
                            <a:avLst/>
                          </a:prstGeom>
                          <a:noFill/>
                          <a:ln w="25400">
                            <a:solidFill>
                              <a:srgbClr val="FF0000"/>
                            </a:solidFill>
                            <a:round/>
                          </a:ln>
                        </wps:spPr>
                        <wps:bodyPr/>
                      </wps:wsp>
                      <wps:wsp>
                        <wps:cNvPr id="3" name="Line 4"/>
                        <wps:cNvCnPr>
                          <a:cxnSpLocks noChangeShapeType="1"/>
                        </wps:cNvCnPr>
                        <wps:spPr bwMode="auto">
                          <a:xfrm flipV="1">
                            <a:off x="0" y="33101"/>
                            <a:ext cx="6120000" cy="0"/>
                          </a:xfrm>
                          <a:prstGeom prst="line">
                            <a:avLst/>
                          </a:prstGeom>
                          <a:noFill/>
                          <a:ln w="9525">
                            <a:solidFill>
                              <a:srgbClr val="FF0000"/>
                            </a:solidFill>
                            <a:round/>
                          </a:ln>
                        </wps:spPr>
                        <wps:bodyPr/>
                      </wps:wsp>
                    </wpg:wgp>
                  </a:graphicData>
                </a:graphic>
              </wp:anchor>
            </w:drawing>
          </mc:Choice>
          <mc:Fallback>
            <w:pict>
              <v:group id="_x0000_s1026" o:spid="_x0000_s1026" o:spt="203" style="position:absolute;left:0pt;margin-left:-33.6pt;margin-top:52.3pt;height:2.6pt;width:481.85pt;z-index:251659264;mso-width-relative:page;mso-height-relative:page;" coordsize="6120000,33101" o:gfxdata="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neNKfbAAAACwEAAA8AAAAAAAAAAQAgAAAAIgAAAGRycy9kb3ducmV2LnhtbFBLAQIUABQA&#10;AAAIAIdO4kBLUXK8XwIAAKYGAAAOAAAAAAAAAAEAIAAAACoBAABkcnMvZTJvRG9jLnhtbFBLBQYA&#10;AAAABgAGAFkBAAD7BQAAAAA=&#10;">
                <o:lock v:ext="edit" aspectratio="f"/>
                <v:line id="Line 3" o:spid="_x0000_s1026" o:spt="20" style="position:absolute;left:0;top:0;flip:y;height:0;width:6120000;" filled="f" stroked="t" coordsize="21600,21600" o:gfxdata="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">
                  <v:fill on="f" focussize="0,0"/>
                  <v:stroke weight="2pt" color="#FF0000" joinstyle="round"/>
                  <v:imagedata o:title=""/>
                  <o:lock v:ext="edit" aspectratio="f"/>
                </v:line>
                <v:line id="Line 4" o:spid="_x0000_s1026" o:spt="20" style="position:absolute;left:0;top:33101;flip:y;height:0;width:6120000;" filled="f" stroked="t" coordsize="21600,21600" o:gfxdata="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Jx1NQu8AAAA&#10;2gAAAA8AAAAAAAAAAQAgAAAAIgAAAGRycy9kb3ducmV2LnhtbFBLAQIUABQAAAAIAIdO4kAzLwWe&#10;OwAAADkAAAAQAAAAAAAAAAEAIAAAAAsBAABkcnMvc2hhcGV4bWwueG1sUEsFBgAAAAAGAAYAWwEA&#10;ALUDAAAAAA==&#10;">
                  <v:fill on="f" focussize="0,0"/>
                  <v:stroke color="#FF0000" joinstyle="round"/>
                  <v:imagedata o:title=""/>
                  <o:lock v:ext="edit" aspectratio="f"/>
                </v:line>
              </v:group>
            </w:pict>
          </mc:Fallback>
        </mc:AlternateContent>
      </w:r>
      <w:r>
        <w:rPr>
          <w:rFonts w:hint="eastAsia" w:asciiTheme="majorEastAsia" w:hAnsiTheme="majorEastAsia" w:eastAsiaTheme="majorEastAsia" w:cstheme="majorEastAsia"/>
          <w:b/>
          <w:bCs/>
          <w:color w:val="FF0000"/>
          <w:spacing w:val="-57"/>
          <w:w w:val="90"/>
          <w:sz w:val="72"/>
          <w:szCs w:val="72"/>
        </w:rPr>
        <w:t>桐城师范高等专科学校组织人事处</w:t>
      </w:r>
    </w:p>
    <w:p w14:paraId="38EEF5FA">
      <w:pPr>
        <w:spacing w:line="400" w:lineRule="exact"/>
        <w:ind w:firstLine="723"/>
        <w:jc w:val="right"/>
        <w:rPr>
          <w:rFonts w:ascii="Times New Roman" w:hAnsi="Times New Roman" w:eastAsia="楷体_GB2312"/>
          <w:sz w:val="32"/>
          <w:szCs w:val="32"/>
        </w:rPr>
      </w:pPr>
      <w:r>
        <w:rPr>
          <w:rFonts w:hint="eastAsia" w:asciiTheme="majorEastAsia" w:hAnsiTheme="majorEastAsia" w:eastAsiaTheme="majorEastAsia" w:cstheme="majorEastAsia"/>
          <w:sz w:val="36"/>
          <w:szCs w:val="36"/>
        </w:rPr>
        <w:t xml:space="preserve">    </w:t>
      </w:r>
    </w:p>
    <w:p w14:paraId="145CDD84">
      <w:pPr>
        <w:widowControl/>
        <w:ind w:firstLine="620"/>
        <w:jc w:val="right"/>
        <w:rPr>
          <w:rFonts w:hint="default" w:eastAsia="楷体_GB2312" w:cs="Calibri"/>
          <w:lang w:val="en-US" w:eastAsia="zh-CN"/>
        </w:rPr>
      </w:pPr>
      <w:r>
        <w:rPr>
          <w:rFonts w:ascii="楷体_GB2312" w:hAnsi="宋体" w:eastAsia="楷体_GB2312" w:cs="楷体_GB2312"/>
          <w:color w:val="000000"/>
          <w:kern w:val="0"/>
          <w:sz w:val="31"/>
          <w:szCs w:val="31"/>
          <w:lang w:bidi="ar"/>
        </w:rPr>
        <w:t>〔</w:t>
      </w:r>
      <w:r>
        <w:rPr>
          <w:rFonts w:ascii="Times New Roman" w:hAnsi="Times New Roman"/>
          <w:color w:val="000000"/>
          <w:kern w:val="0"/>
          <w:sz w:val="31"/>
          <w:szCs w:val="31"/>
          <w:lang w:bidi="ar"/>
        </w:rPr>
        <w:t>2024</w:t>
      </w:r>
      <w:r>
        <w:rPr>
          <w:rFonts w:hint="eastAsia" w:ascii="楷体_GB2312" w:hAnsi="宋体" w:eastAsia="楷体_GB2312" w:cs="楷体_GB2312"/>
          <w:color w:val="000000"/>
          <w:kern w:val="0"/>
          <w:sz w:val="31"/>
          <w:szCs w:val="31"/>
          <w:lang w:bidi="ar"/>
        </w:rPr>
        <w:t>〕-</w:t>
      </w:r>
      <w:r>
        <w:rPr>
          <w:rFonts w:hint="eastAsia" w:eastAsia="楷体_GB2312" w:cs="Calibri"/>
          <w:color w:val="000000"/>
          <w:kern w:val="0"/>
          <w:sz w:val="31"/>
          <w:szCs w:val="31"/>
          <w:lang w:val="en-US" w:eastAsia="zh-CN" w:bidi="ar"/>
        </w:rPr>
        <w:t>42</w:t>
      </w:r>
    </w:p>
    <w:p w14:paraId="74DF0FC1">
      <w:pPr>
        <w:spacing w:line="68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关于认真做好202</w:t>
      </w:r>
      <w:r>
        <w:rPr>
          <w:rFonts w:hint="eastAsia" w:asciiTheme="majorEastAsia" w:hAnsiTheme="majorEastAsia" w:eastAsiaTheme="majorEastAsia"/>
          <w:b/>
          <w:sz w:val="44"/>
          <w:szCs w:val="44"/>
          <w:lang w:val="en-US" w:eastAsia="zh-CN"/>
        </w:rPr>
        <w:t>4</w:t>
      </w:r>
      <w:r>
        <w:rPr>
          <w:rFonts w:hint="eastAsia" w:asciiTheme="majorEastAsia" w:hAnsiTheme="majorEastAsia" w:eastAsiaTheme="majorEastAsia"/>
          <w:b/>
          <w:sz w:val="44"/>
          <w:szCs w:val="44"/>
        </w:rPr>
        <w:t>年高校新入职教师</w:t>
      </w:r>
    </w:p>
    <w:p w14:paraId="42E9375E">
      <w:pPr>
        <w:spacing w:line="680" w:lineRule="exact"/>
        <w:jc w:val="center"/>
        <w:rPr>
          <w:rFonts w:asciiTheme="majorEastAsia" w:hAnsiTheme="majorEastAsia" w:eastAsiaTheme="majorEastAsia"/>
          <w:b/>
          <w:sz w:val="44"/>
          <w:szCs w:val="44"/>
        </w:rPr>
      </w:pPr>
      <w:r>
        <w:rPr>
          <w:rFonts w:hint="eastAsia" w:asciiTheme="majorEastAsia" w:hAnsiTheme="majorEastAsia" w:eastAsiaTheme="majorEastAsia"/>
          <w:b/>
          <w:sz w:val="44"/>
          <w:szCs w:val="44"/>
        </w:rPr>
        <w:t>岗前培训工作的通知</w:t>
      </w:r>
    </w:p>
    <w:p w14:paraId="4FAA463A">
      <w:pPr>
        <w:spacing w:line="560" w:lineRule="exact"/>
        <w:rPr>
          <w:rFonts w:hint="eastAsia" w:ascii="仿宋" w:hAnsi="仿宋" w:eastAsia="仿宋"/>
          <w:color w:val="141414"/>
          <w:sz w:val="32"/>
          <w:szCs w:val="32"/>
        </w:rPr>
      </w:pPr>
      <w:r>
        <w:rPr>
          <w:rFonts w:hint="eastAsia" w:ascii="仿宋" w:hAnsi="仿宋" w:eastAsia="仿宋"/>
          <w:color w:val="141414"/>
          <w:sz w:val="32"/>
          <w:szCs w:val="32"/>
          <w:lang w:val="en-US" w:eastAsia="zh-CN"/>
        </w:rPr>
        <w:t>各处室、院系</w:t>
      </w:r>
      <w:r>
        <w:rPr>
          <w:rFonts w:hint="eastAsia" w:ascii="仿宋" w:hAnsi="仿宋" w:eastAsia="仿宋"/>
          <w:color w:val="141414"/>
          <w:sz w:val="32"/>
          <w:szCs w:val="32"/>
        </w:rPr>
        <w:t>：</w:t>
      </w:r>
    </w:p>
    <w:p w14:paraId="2E13DB3D">
      <w:pPr>
        <w:spacing w:line="560" w:lineRule="exact"/>
        <w:ind w:firstLine="640" w:firstLineChars="200"/>
        <w:rPr>
          <w:rFonts w:hint="eastAsia" w:ascii="仿宋" w:hAnsi="仿宋" w:eastAsia="仿宋"/>
          <w:color w:val="141414"/>
          <w:sz w:val="32"/>
          <w:szCs w:val="32"/>
        </w:rPr>
      </w:pPr>
      <w:r>
        <w:rPr>
          <w:rFonts w:hint="eastAsia" w:ascii="仿宋" w:hAnsi="仿宋" w:eastAsia="仿宋"/>
          <w:color w:val="141414"/>
          <w:sz w:val="32"/>
          <w:szCs w:val="32"/>
        </w:rPr>
        <w:t>为贯彻落实习近平总书记</w:t>
      </w:r>
      <w:r>
        <w:rPr>
          <w:rFonts w:hint="eastAsia" w:ascii="仿宋" w:hAnsi="仿宋" w:eastAsia="仿宋"/>
          <w:color w:val="141414"/>
          <w:sz w:val="32"/>
          <w:szCs w:val="32"/>
          <w:lang w:val="en-US" w:eastAsia="zh-CN"/>
        </w:rPr>
        <w:t>在全国教育大会上的重要讲话以及</w:t>
      </w:r>
      <w:r>
        <w:rPr>
          <w:rFonts w:hint="eastAsia" w:ascii="仿宋" w:hAnsi="仿宋" w:eastAsia="仿宋"/>
          <w:color w:val="141414"/>
          <w:sz w:val="32"/>
          <w:szCs w:val="32"/>
        </w:rPr>
        <w:t>关于教师队伍建设的系列重要指示批示精神，全面加强高校教师队伍建设，严把高校教师入口关，提升高校新入职教师</w:t>
      </w:r>
      <w:r>
        <w:rPr>
          <w:rFonts w:hint="eastAsia" w:ascii="仿宋" w:hAnsi="仿宋" w:eastAsia="仿宋"/>
          <w:color w:val="141414"/>
          <w:sz w:val="32"/>
          <w:szCs w:val="32"/>
          <w:lang w:val="en-US" w:eastAsia="zh-CN"/>
        </w:rPr>
        <w:t>师德素养、</w:t>
      </w:r>
      <w:r>
        <w:rPr>
          <w:rFonts w:hint="eastAsia" w:ascii="仿宋" w:hAnsi="仿宋" w:eastAsia="仿宋"/>
          <w:color w:val="141414"/>
          <w:sz w:val="32"/>
          <w:szCs w:val="32"/>
        </w:rPr>
        <w:t>教学能力和业务水平，根据《安徽省教育厅关于做好202</w:t>
      </w:r>
      <w:r>
        <w:rPr>
          <w:rFonts w:hint="eastAsia" w:ascii="仿宋" w:hAnsi="仿宋" w:eastAsia="仿宋"/>
          <w:color w:val="141414"/>
          <w:sz w:val="32"/>
          <w:szCs w:val="32"/>
          <w:lang w:val="en-US" w:eastAsia="zh-CN"/>
        </w:rPr>
        <w:t>4</w:t>
      </w:r>
      <w:r>
        <w:rPr>
          <w:rFonts w:hint="eastAsia" w:ascii="仿宋" w:hAnsi="仿宋" w:eastAsia="仿宋"/>
          <w:color w:val="141414"/>
          <w:sz w:val="32"/>
          <w:szCs w:val="32"/>
        </w:rPr>
        <w:t>年高校新入职教师岗前培训工作的通知》（皖教秘人[202</w:t>
      </w:r>
      <w:r>
        <w:rPr>
          <w:rFonts w:hint="eastAsia" w:ascii="仿宋" w:hAnsi="仿宋" w:eastAsia="仿宋"/>
          <w:color w:val="141414"/>
          <w:sz w:val="32"/>
          <w:szCs w:val="32"/>
          <w:lang w:val="en-US" w:eastAsia="zh-CN"/>
        </w:rPr>
        <w:t>4</w:t>
      </w:r>
      <w:r>
        <w:rPr>
          <w:rFonts w:hint="eastAsia" w:ascii="仿宋" w:hAnsi="仿宋" w:eastAsia="仿宋"/>
          <w:color w:val="141414"/>
          <w:sz w:val="32"/>
          <w:szCs w:val="32"/>
        </w:rPr>
        <w:t>]</w:t>
      </w:r>
      <w:r>
        <w:rPr>
          <w:rFonts w:hint="eastAsia" w:ascii="仿宋" w:hAnsi="仿宋" w:eastAsia="仿宋"/>
          <w:color w:val="141414"/>
          <w:sz w:val="32"/>
          <w:szCs w:val="32"/>
          <w:lang w:val="en-US" w:eastAsia="zh-CN"/>
        </w:rPr>
        <w:t>96</w:t>
      </w:r>
      <w:r>
        <w:rPr>
          <w:rFonts w:hint="eastAsia" w:ascii="仿宋" w:hAnsi="仿宋" w:eastAsia="仿宋"/>
          <w:color w:val="141414"/>
          <w:sz w:val="32"/>
          <w:szCs w:val="32"/>
        </w:rPr>
        <w:t>号）</w:t>
      </w:r>
      <w:r>
        <w:rPr>
          <w:rFonts w:hint="eastAsia" w:ascii="仿宋" w:hAnsi="仿宋" w:eastAsia="仿宋"/>
          <w:color w:val="141414"/>
          <w:sz w:val="32"/>
          <w:szCs w:val="32"/>
          <w:lang w:val="en-US" w:eastAsia="zh-CN"/>
        </w:rPr>
        <w:t>文件</w:t>
      </w:r>
      <w:r>
        <w:rPr>
          <w:rFonts w:hint="eastAsia" w:ascii="仿宋" w:hAnsi="仿宋" w:eastAsia="仿宋"/>
          <w:color w:val="141414"/>
          <w:sz w:val="32"/>
          <w:szCs w:val="32"/>
        </w:rPr>
        <w:t>要求，现就做好202</w:t>
      </w:r>
      <w:r>
        <w:rPr>
          <w:rFonts w:hint="eastAsia" w:ascii="仿宋" w:hAnsi="仿宋" w:eastAsia="仿宋"/>
          <w:color w:val="141414"/>
          <w:sz w:val="32"/>
          <w:szCs w:val="32"/>
          <w:lang w:val="en-US" w:eastAsia="zh-CN"/>
        </w:rPr>
        <w:t>4</w:t>
      </w:r>
      <w:r>
        <w:rPr>
          <w:rFonts w:hint="eastAsia" w:ascii="仿宋" w:hAnsi="仿宋" w:eastAsia="仿宋"/>
          <w:color w:val="141414"/>
          <w:sz w:val="32"/>
          <w:szCs w:val="32"/>
        </w:rPr>
        <w:t>年我校高校新入职教师岗前培训有关工作通知如下：</w:t>
      </w:r>
    </w:p>
    <w:p w14:paraId="2A7A7B87">
      <w:pPr>
        <w:spacing w:line="56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一、培训对象</w:t>
      </w:r>
    </w:p>
    <w:p w14:paraId="185F71A7">
      <w:pPr>
        <w:spacing w:line="56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我校新补充从事教育教学工作、具有本科以上学历</w:t>
      </w:r>
      <w:r>
        <w:rPr>
          <w:rFonts w:hint="eastAsia" w:ascii="仿宋" w:hAnsi="仿宋" w:eastAsia="仿宋"/>
          <w:color w:val="141414"/>
          <w:sz w:val="32"/>
          <w:szCs w:val="32"/>
          <w:lang w:eastAsia="zh-CN"/>
        </w:rPr>
        <w:t>（</w:t>
      </w:r>
      <w:r>
        <w:rPr>
          <w:rFonts w:hint="eastAsia" w:ascii="仿宋" w:hAnsi="仿宋" w:eastAsia="仿宋"/>
          <w:color w:val="141414"/>
          <w:sz w:val="32"/>
          <w:szCs w:val="32"/>
          <w:lang w:val="en-US" w:eastAsia="zh-CN"/>
        </w:rPr>
        <w:t>含博士研究生）</w:t>
      </w:r>
      <w:r>
        <w:rPr>
          <w:rFonts w:hint="eastAsia" w:ascii="仿宋" w:hAnsi="仿宋" w:eastAsia="仿宋"/>
          <w:color w:val="141414"/>
          <w:sz w:val="32"/>
          <w:szCs w:val="32"/>
        </w:rPr>
        <w:t>的专任教师以及需要重修的人员</w:t>
      </w:r>
      <w:r>
        <w:rPr>
          <w:rFonts w:hint="eastAsia" w:ascii="仿宋" w:hAnsi="仿宋" w:eastAsia="仿宋"/>
          <w:color w:val="141414"/>
          <w:sz w:val="32"/>
          <w:szCs w:val="32"/>
          <w:lang w:eastAsia="zh-CN"/>
        </w:rPr>
        <w:t>；</w:t>
      </w:r>
      <w:r>
        <w:rPr>
          <w:rFonts w:hint="eastAsia" w:ascii="仿宋" w:hAnsi="仿宋" w:eastAsia="仿宋"/>
          <w:color w:val="141414"/>
          <w:sz w:val="32"/>
          <w:szCs w:val="32"/>
          <w:lang w:val="en-US" w:eastAsia="zh-CN"/>
        </w:rPr>
        <w:t>未取得高校教师资格证的人员</w:t>
      </w:r>
      <w:r>
        <w:rPr>
          <w:rFonts w:hint="eastAsia" w:ascii="仿宋" w:hAnsi="仿宋" w:eastAsia="仿宋"/>
          <w:color w:val="141414"/>
          <w:sz w:val="32"/>
          <w:szCs w:val="32"/>
        </w:rPr>
        <w:t>。</w:t>
      </w:r>
    </w:p>
    <w:p w14:paraId="5C647F46">
      <w:pPr>
        <w:spacing w:line="540" w:lineRule="exact"/>
        <w:ind w:left="560"/>
        <w:rPr>
          <w:rFonts w:ascii="仿宋" w:hAnsi="仿宋" w:eastAsia="仿宋"/>
          <w:color w:val="141414"/>
          <w:sz w:val="32"/>
          <w:szCs w:val="32"/>
        </w:rPr>
      </w:pPr>
      <w:r>
        <w:rPr>
          <w:rFonts w:hint="eastAsia" w:ascii="仿宋" w:hAnsi="仿宋" w:eastAsia="仿宋"/>
          <w:color w:val="141414"/>
          <w:sz w:val="32"/>
          <w:szCs w:val="32"/>
        </w:rPr>
        <w:t>二、培训内容</w:t>
      </w:r>
    </w:p>
    <w:p w14:paraId="077DEF06">
      <w:pPr>
        <w:spacing w:line="54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此次培训采取集中</w:t>
      </w:r>
      <w:r>
        <w:rPr>
          <w:rFonts w:hint="eastAsia" w:ascii="仿宋" w:hAnsi="仿宋" w:eastAsia="仿宋"/>
          <w:color w:val="141414"/>
          <w:sz w:val="32"/>
          <w:szCs w:val="32"/>
          <w:lang w:val="en-US" w:eastAsia="zh-CN"/>
        </w:rPr>
        <w:t>理论培训与</w:t>
      </w:r>
      <w:r>
        <w:rPr>
          <w:rFonts w:hint="eastAsia" w:ascii="仿宋" w:hAnsi="仿宋" w:eastAsia="仿宋"/>
          <w:color w:val="141414"/>
          <w:sz w:val="32"/>
          <w:szCs w:val="32"/>
        </w:rPr>
        <w:t>校本培训相结合的方式进行。</w:t>
      </w:r>
    </w:p>
    <w:p w14:paraId="6933F9F6">
      <w:pPr>
        <w:spacing w:line="540" w:lineRule="exact"/>
        <w:ind w:firstLine="640" w:firstLineChars="200"/>
        <w:rPr>
          <w:rFonts w:hint="eastAsia" w:ascii="仿宋" w:hAnsi="仿宋" w:eastAsia="仿宋"/>
          <w:color w:val="141414"/>
          <w:sz w:val="32"/>
          <w:szCs w:val="32"/>
          <w:lang w:val="en-US" w:eastAsia="zh-CN"/>
        </w:rPr>
      </w:pPr>
      <w:r>
        <w:rPr>
          <w:rFonts w:hint="eastAsia" w:ascii="仿宋" w:hAnsi="仿宋" w:eastAsia="仿宋"/>
          <w:color w:val="141414"/>
          <w:sz w:val="32"/>
          <w:szCs w:val="32"/>
          <w:lang w:val="en-US" w:eastAsia="zh-CN"/>
        </w:rPr>
        <w:t>（一）理论课培训:开设《高等教育学》《高等教育心理学》《高等学校教师职业道德修养》《高等教育法规概论》《现代教育技术》等课程。各高校根据实际情况可采取线上和线下两种模式进行,其中,采用线上集中培训模式的由各高校集中组织学习;采用线下集中培训模式的由相关培训点统一组织开展。</w:t>
      </w:r>
    </w:p>
    <w:p w14:paraId="570499E9">
      <w:pPr>
        <w:spacing w:line="540" w:lineRule="exact"/>
        <w:ind w:firstLine="640" w:firstLineChars="200"/>
        <w:rPr>
          <w:rFonts w:hint="eastAsia" w:ascii="仿宋" w:hAnsi="仿宋" w:eastAsia="仿宋"/>
          <w:color w:val="141414"/>
          <w:sz w:val="32"/>
          <w:szCs w:val="32"/>
          <w:lang w:val="en-US" w:eastAsia="zh-CN"/>
        </w:rPr>
      </w:pPr>
      <w:r>
        <w:rPr>
          <w:rFonts w:hint="eastAsia" w:ascii="仿宋" w:hAnsi="仿宋" w:eastAsia="仿宋"/>
          <w:color w:val="141414"/>
          <w:sz w:val="32"/>
          <w:szCs w:val="32"/>
          <w:lang w:val="en-US" w:eastAsia="zh-CN"/>
        </w:rPr>
        <w:t>(二)校本培训:主要学习内容包括学习贯彻习近平新时代中国特色社会主义思想、习近平总书记关于教育的重要论述、党的二十大、二十届三中全会精神和习近平总书记在全国教育大会上的重要讲话以及关于教师队伍建设的系列重要指示批示精神，教育家精神，师德师风、校史校情、校纪校规以及教学大纲编制教学设计与教案编写、教学评价方法、教学实践、教研科研项目申报、文献检索以及微格教学训练、名师示范教学观摩等。</w:t>
      </w:r>
    </w:p>
    <w:p w14:paraId="57D3332C">
      <w:pPr>
        <w:spacing w:line="54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三、结业考试</w:t>
      </w:r>
    </w:p>
    <w:p w14:paraId="0CEB94D6">
      <w:pPr>
        <w:spacing w:line="54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（一）</w:t>
      </w:r>
      <w:r>
        <w:rPr>
          <w:rFonts w:hint="eastAsia" w:ascii="仿宋" w:hAnsi="仿宋" w:eastAsia="仿宋"/>
          <w:color w:val="141414"/>
          <w:sz w:val="32"/>
          <w:szCs w:val="32"/>
          <w:lang w:val="en-US" w:eastAsia="zh-CN"/>
        </w:rPr>
        <w:t>结业考试由省高校师资培训中心统一组织</w:t>
      </w:r>
      <w:r>
        <w:rPr>
          <w:rFonts w:hint="eastAsia" w:ascii="仿宋" w:hAnsi="仿宋" w:eastAsia="仿宋"/>
          <w:color w:val="141414"/>
          <w:sz w:val="32"/>
          <w:szCs w:val="32"/>
        </w:rPr>
        <w:t>，具体考试安排另行通知。</w:t>
      </w:r>
    </w:p>
    <w:p w14:paraId="28F0E6C5">
      <w:pPr>
        <w:spacing w:line="54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（二）学校高度重视岗前培训工作，将加强培训的过程性考核。过程性考核的各项指标成绩计入平时成绩。届时，</w:t>
      </w:r>
      <w:r>
        <w:rPr>
          <w:rFonts w:hint="eastAsia" w:ascii="仿宋" w:hAnsi="仿宋" w:eastAsia="仿宋"/>
          <w:color w:val="141414"/>
          <w:sz w:val="32"/>
          <w:szCs w:val="32"/>
          <w:lang w:val="en-US" w:eastAsia="zh-CN"/>
        </w:rPr>
        <w:t>省高校师资培训中心</w:t>
      </w:r>
      <w:r>
        <w:rPr>
          <w:rFonts w:hint="eastAsia" w:ascii="仿宋" w:hAnsi="仿宋" w:eastAsia="仿宋"/>
          <w:color w:val="141414"/>
          <w:sz w:val="32"/>
          <w:szCs w:val="32"/>
        </w:rPr>
        <w:t>将对</w:t>
      </w:r>
      <w:r>
        <w:rPr>
          <w:rFonts w:hint="eastAsia" w:ascii="仿宋" w:hAnsi="仿宋" w:eastAsia="仿宋"/>
          <w:color w:val="141414"/>
          <w:sz w:val="32"/>
          <w:szCs w:val="32"/>
          <w:lang w:val="en-US" w:eastAsia="zh-CN"/>
        </w:rPr>
        <w:t>学</w:t>
      </w:r>
      <w:r>
        <w:rPr>
          <w:rFonts w:hint="eastAsia" w:ascii="仿宋" w:hAnsi="仿宋" w:eastAsia="仿宋"/>
          <w:color w:val="141414"/>
          <w:sz w:val="32"/>
          <w:szCs w:val="32"/>
        </w:rPr>
        <w:t>校的过程性考核情况进行抽查。</w:t>
      </w:r>
    </w:p>
    <w:p w14:paraId="1423CE6D">
      <w:pPr>
        <w:spacing w:line="54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平时成绩的考核办法如下：根据《安徽省高校新入职教师岗前培训若干规定》，集中培训出勤率低于课时数2/3者不得参加全省统考，须安排至下一年重修；参训新教师提交的“5个1”作业(课程实施大纲1份，授课教案1份，教学PPT 1个，有试讲专家组长签名和试讲评价及成绩的试讲评价表1份，教研或科研申报书1份)由学校成立专家组通过考评以百分制逐一得出（各项作业均以60分为合格），如有不合格者不得参加全省统考，须安排至下一年重修。</w:t>
      </w:r>
    </w:p>
    <w:p w14:paraId="634AA5B8">
      <w:pPr>
        <w:pStyle w:val="8"/>
        <w:shd w:val="clear" w:color="auto" w:fill="FFFFFF"/>
        <w:spacing w:before="0" w:beforeAutospacing="0" w:after="0" w:afterAutospacing="0" w:line="540" w:lineRule="exact"/>
        <w:ind w:firstLine="640" w:firstLineChars="200"/>
        <w:jc w:val="both"/>
        <w:rPr>
          <w:rFonts w:ascii="仿宋" w:hAnsi="仿宋" w:eastAsia="仿宋" w:cs="Times New Roman"/>
          <w:color w:val="141414"/>
          <w:kern w:val="2"/>
          <w:sz w:val="32"/>
          <w:szCs w:val="32"/>
        </w:rPr>
      </w:pPr>
      <w:r>
        <w:rPr>
          <w:rFonts w:hint="eastAsia" w:ascii="仿宋" w:hAnsi="仿宋" w:eastAsia="仿宋" w:cs="Times New Roman"/>
          <w:color w:val="141414"/>
          <w:kern w:val="2"/>
          <w:sz w:val="32"/>
          <w:szCs w:val="32"/>
        </w:rPr>
        <w:t>（三）岗前培训考试科目全部合格、在线学习按要求完成者，发放岗前培训合格证书。考试科目未全部合格者，须参加下一年度补考，补考成绩合格后发放合格证书。如补考仍不合格，须重修该课程后方可再次参加补考。凡考试作弊者，本年度岗前培训结业考试所有科目成绩一律作零分计算，同时给予通报批评，并在三年内不得参加考试。如202</w:t>
      </w:r>
      <w:r>
        <w:rPr>
          <w:rFonts w:hint="eastAsia" w:ascii="仿宋" w:hAnsi="仿宋" w:eastAsia="仿宋" w:cs="Times New Roman"/>
          <w:color w:val="141414"/>
          <w:kern w:val="2"/>
          <w:sz w:val="32"/>
          <w:szCs w:val="32"/>
          <w:lang w:val="en-US" w:eastAsia="zh-CN"/>
        </w:rPr>
        <w:t>2</w:t>
      </w:r>
      <w:r>
        <w:rPr>
          <w:rFonts w:hint="eastAsia" w:ascii="仿宋" w:hAnsi="仿宋" w:eastAsia="仿宋" w:cs="Times New Roman"/>
          <w:color w:val="141414"/>
          <w:kern w:val="2"/>
          <w:sz w:val="32"/>
          <w:szCs w:val="32"/>
        </w:rPr>
        <w:t>年</w:t>
      </w:r>
      <w:r>
        <w:rPr>
          <w:rFonts w:hint="eastAsia" w:ascii="仿宋" w:hAnsi="仿宋" w:eastAsia="仿宋" w:cs="Times New Roman"/>
          <w:color w:val="141414"/>
          <w:kern w:val="2"/>
          <w:sz w:val="32"/>
          <w:szCs w:val="32"/>
          <w:lang w:eastAsia="zh-CN"/>
        </w:rPr>
        <w:t>、</w:t>
      </w:r>
      <w:r>
        <w:rPr>
          <w:rFonts w:hint="eastAsia" w:ascii="仿宋" w:hAnsi="仿宋" w:eastAsia="仿宋" w:cs="Times New Roman"/>
          <w:color w:val="141414"/>
          <w:kern w:val="2"/>
          <w:sz w:val="32"/>
          <w:szCs w:val="32"/>
          <w:lang w:val="en-US" w:eastAsia="zh-CN"/>
        </w:rPr>
        <w:t>2023年</w:t>
      </w:r>
      <w:r>
        <w:rPr>
          <w:rFonts w:hint="eastAsia" w:ascii="仿宋" w:hAnsi="仿宋" w:eastAsia="仿宋" w:cs="Times New Roman"/>
          <w:color w:val="141414"/>
          <w:kern w:val="2"/>
          <w:sz w:val="32"/>
          <w:szCs w:val="32"/>
        </w:rPr>
        <w:t>考试中通报违纪的考生，</w:t>
      </w:r>
      <w:r>
        <w:rPr>
          <w:rFonts w:hint="eastAsia" w:ascii="仿宋" w:hAnsi="仿宋" w:eastAsia="仿宋" w:cs="Times New Roman"/>
          <w:color w:val="141414"/>
          <w:kern w:val="2"/>
          <w:sz w:val="32"/>
          <w:szCs w:val="32"/>
          <w:lang w:val="en-US" w:eastAsia="zh-CN"/>
        </w:rPr>
        <w:t>今年</w:t>
      </w:r>
      <w:r>
        <w:rPr>
          <w:rFonts w:hint="eastAsia" w:ascii="仿宋" w:hAnsi="仿宋" w:eastAsia="仿宋" w:cs="Times New Roman"/>
          <w:color w:val="141414"/>
          <w:kern w:val="2"/>
          <w:sz w:val="32"/>
          <w:szCs w:val="32"/>
        </w:rPr>
        <w:t>不得报名参加考试。</w:t>
      </w:r>
    </w:p>
    <w:p w14:paraId="20598792">
      <w:pPr>
        <w:spacing w:line="520" w:lineRule="exact"/>
        <w:ind w:firstLine="640" w:firstLineChars="200"/>
        <w:rPr>
          <w:rFonts w:hint="eastAsia" w:ascii="仿宋" w:hAnsi="仿宋" w:eastAsia="仿宋"/>
          <w:color w:val="FF0000"/>
          <w:sz w:val="32"/>
          <w:szCs w:val="32"/>
        </w:rPr>
      </w:pPr>
      <w:r>
        <w:rPr>
          <w:rFonts w:hint="eastAsia" w:ascii="仿宋" w:hAnsi="仿宋" w:eastAsia="仿宋"/>
          <w:color w:val="FF0000"/>
          <w:sz w:val="32"/>
          <w:szCs w:val="32"/>
        </w:rPr>
        <w:t>岗前培训的考试成绩计入教师个人业务档案，岗前培训合格证书是申请教师资格、转正定级和职务聘任</w:t>
      </w:r>
      <w:bookmarkStart w:id="0" w:name="_GoBack"/>
      <w:bookmarkEnd w:id="0"/>
      <w:r>
        <w:rPr>
          <w:rFonts w:hint="eastAsia" w:ascii="仿宋" w:hAnsi="仿宋" w:eastAsia="仿宋"/>
          <w:color w:val="FF0000"/>
          <w:sz w:val="32"/>
          <w:szCs w:val="32"/>
        </w:rPr>
        <w:t>的必备条件之一。</w:t>
      </w:r>
    </w:p>
    <w:p w14:paraId="3D206B53">
      <w:pPr>
        <w:spacing w:line="520" w:lineRule="exact"/>
        <w:ind w:firstLine="640" w:firstLineChars="200"/>
        <w:rPr>
          <w:rFonts w:hint="default" w:ascii="仿宋" w:hAnsi="仿宋" w:eastAsia="仿宋"/>
          <w:color w:val="FF0000"/>
          <w:sz w:val="32"/>
          <w:szCs w:val="32"/>
          <w:lang w:val="en-US" w:eastAsia="zh-CN"/>
        </w:rPr>
      </w:pPr>
      <w:r>
        <w:rPr>
          <w:rFonts w:hint="eastAsia" w:ascii="仿宋" w:hAnsi="仿宋" w:eastAsia="仿宋"/>
          <w:color w:val="FF0000"/>
          <w:sz w:val="32"/>
          <w:szCs w:val="32"/>
          <w:lang w:val="en-US" w:eastAsia="zh-CN"/>
        </w:rPr>
        <w:t>所有现龄45岁（含）以下的在岗人员（含编外）均需在2027年12月前取得高校教师资格证。未在规定时间内取得高校教师资格证的在编人员不予申报高一级职称，编外人员解除劳动合同关系。</w:t>
      </w:r>
    </w:p>
    <w:p w14:paraId="1506087C">
      <w:pPr>
        <w:pStyle w:val="8"/>
        <w:shd w:val="clear" w:color="auto" w:fill="FFFFFF"/>
        <w:spacing w:before="0" w:beforeAutospacing="0" w:after="0" w:afterAutospacing="0" w:line="520" w:lineRule="exact"/>
        <w:jc w:val="both"/>
        <w:rPr>
          <w:rFonts w:ascii="仿宋" w:hAnsi="仿宋" w:eastAsia="仿宋" w:cs="Times New Roman"/>
          <w:color w:val="141414"/>
          <w:kern w:val="2"/>
          <w:sz w:val="32"/>
          <w:szCs w:val="32"/>
        </w:rPr>
      </w:pPr>
      <w:r>
        <w:rPr>
          <w:rFonts w:hint="eastAsia" w:ascii="仿宋" w:hAnsi="仿宋" w:eastAsia="仿宋" w:cs="Times New Roman"/>
          <w:color w:val="141414"/>
          <w:kern w:val="2"/>
          <w:sz w:val="32"/>
          <w:szCs w:val="32"/>
        </w:rPr>
        <w:t>　　四、时间安排</w:t>
      </w:r>
    </w:p>
    <w:p w14:paraId="01355AEA">
      <w:pPr>
        <w:spacing w:line="52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（一）新入职高校教师认真填写《202</w:t>
      </w:r>
      <w:r>
        <w:rPr>
          <w:rFonts w:hint="eastAsia" w:ascii="仿宋" w:hAnsi="仿宋" w:eastAsia="仿宋"/>
          <w:color w:val="141414"/>
          <w:sz w:val="32"/>
          <w:szCs w:val="32"/>
          <w:lang w:val="en-US" w:eastAsia="zh-CN"/>
        </w:rPr>
        <w:t>4</w:t>
      </w:r>
      <w:r>
        <w:rPr>
          <w:rFonts w:hint="eastAsia" w:ascii="仿宋" w:hAnsi="仿宋" w:eastAsia="仿宋"/>
          <w:color w:val="141414"/>
          <w:sz w:val="32"/>
          <w:szCs w:val="32"/>
        </w:rPr>
        <w:t>年高校新入职教师岗前培训报名表》（补考人员信息及科目须统一填写）。202</w:t>
      </w:r>
      <w:r>
        <w:rPr>
          <w:rFonts w:hint="eastAsia" w:ascii="仿宋" w:hAnsi="仿宋" w:eastAsia="仿宋"/>
          <w:color w:val="141414"/>
          <w:sz w:val="32"/>
          <w:szCs w:val="32"/>
          <w:lang w:val="en-US" w:eastAsia="zh-CN"/>
        </w:rPr>
        <w:t>4</w:t>
      </w:r>
      <w:r>
        <w:rPr>
          <w:rFonts w:hint="eastAsia" w:ascii="仿宋" w:hAnsi="仿宋" w:eastAsia="仿宋"/>
          <w:color w:val="141414"/>
          <w:sz w:val="32"/>
          <w:szCs w:val="32"/>
        </w:rPr>
        <w:t>年10月</w:t>
      </w:r>
      <w:r>
        <w:rPr>
          <w:rFonts w:hint="eastAsia" w:ascii="仿宋" w:hAnsi="仿宋" w:eastAsia="仿宋"/>
          <w:color w:val="141414"/>
          <w:sz w:val="32"/>
          <w:szCs w:val="32"/>
          <w:lang w:val="en-US" w:eastAsia="zh-CN"/>
        </w:rPr>
        <w:t>14</w:t>
      </w:r>
      <w:r>
        <w:rPr>
          <w:rFonts w:hint="eastAsia" w:ascii="仿宋" w:hAnsi="仿宋" w:eastAsia="仿宋"/>
          <w:color w:val="141414"/>
          <w:sz w:val="32"/>
          <w:szCs w:val="32"/>
        </w:rPr>
        <w:t>日下午5点前报送照片、纸质(加盖各部门公章)和电子版至组织人事处</w:t>
      </w:r>
      <w:r>
        <w:rPr>
          <w:rFonts w:hint="eastAsia" w:ascii="仿宋" w:hAnsi="仿宋" w:eastAsia="仿宋"/>
          <w:color w:val="141414"/>
          <w:sz w:val="32"/>
          <w:szCs w:val="32"/>
          <w:lang w:val="en-US" w:eastAsia="zh-CN"/>
        </w:rPr>
        <w:t>吴瑕</w:t>
      </w:r>
      <w:r>
        <w:rPr>
          <w:rFonts w:hint="eastAsia" w:ascii="仿宋" w:hAnsi="仿宋" w:eastAsia="仿宋"/>
          <w:color w:val="141414"/>
          <w:sz w:val="32"/>
          <w:szCs w:val="32"/>
        </w:rPr>
        <w:t>老师处。</w:t>
      </w:r>
    </w:p>
    <w:p w14:paraId="089B2B3F">
      <w:pPr>
        <w:spacing w:line="52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（二）每位学员（含补考人员）须交两寸免冠照片（背面请用铅笔写明姓名、身份证号码）1张。</w:t>
      </w:r>
    </w:p>
    <w:p w14:paraId="5B246C1A">
      <w:pPr>
        <w:spacing w:line="52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五、关于免试</w:t>
      </w:r>
    </w:p>
    <w:p w14:paraId="28B4B045">
      <w:pPr>
        <w:spacing w:line="52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高等师范院校“教育学”学科门类本科及以上学历毕业的教师参加岗前培训，其毕业成绩登记表记载有《高等教育学》、《高等教育心理学》成绩的，可免试《高等教育学》和《高等教育心理学》课程。高等师范院校指独立设置的全日制普通师范大学、师范学院；“教育学”学科门类指教育学、心理学一级学科及所属专业。</w:t>
      </w:r>
    </w:p>
    <w:p w14:paraId="142C0FFF">
      <w:pPr>
        <w:spacing w:line="52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六、培训费用</w:t>
      </w:r>
    </w:p>
    <w:p w14:paraId="4C1EF967">
      <w:pPr>
        <w:pStyle w:val="14"/>
        <w:widowControl w:val="0"/>
        <w:spacing w:before="0" w:beforeAutospacing="0" w:after="0" w:afterAutospacing="0" w:line="520" w:lineRule="exact"/>
        <w:ind w:firstLine="645"/>
        <w:jc w:val="both"/>
        <w:rPr>
          <w:rFonts w:ascii="仿宋" w:hAnsi="仿宋" w:eastAsia="仿宋" w:cs="Times New Roman"/>
          <w:color w:val="141414"/>
          <w:kern w:val="2"/>
          <w:sz w:val="32"/>
          <w:szCs w:val="32"/>
        </w:rPr>
      </w:pPr>
      <w:r>
        <w:rPr>
          <w:rFonts w:hint="eastAsia" w:ascii="仿宋" w:hAnsi="仿宋" w:eastAsia="仿宋" w:cs="Times New Roman"/>
          <w:color w:val="141414"/>
          <w:kern w:val="2"/>
          <w:sz w:val="32"/>
          <w:szCs w:val="32"/>
        </w:rPr>
        <w:t>今年高校新入职教师岗前培训费由参训教师所在学校承担，在培训费中列支，不得由新入职教师负担。集中网络培训费每人200元，培训考试、颁证费每人140元（补考费为每门课程50元，由补考教师交至财务处），</w:t>
      </w:r>
      <w:r>
        <w:rPr>
          <w:rFonts w:hint="eastAsia" w:ascii="仿宋" w:hAnsi="仿宋" w:eastAsia="仿宋" w:cs="Times New Roman"/>
          <w:color w:val="141414"/>
          <w:kern w:val="2"/>
          <w:sz w:val="32"/>
          <w:szCs w:val="32"/>
          <w:lang w:val="en-US" w:eastAsia="zh-CN"/>
        </w:rPr>
        <w:t>重修</w:t>
      </w:r>
      <w:r>
        <w:rPr>
          <w:rFonts w:hint="eastAsia" w:ascii="仿宋" w:hAnsi="仿宋" w:eastAsia="仿宋" w:cs="Times New Roman"/>
          <w:color w:val="141414"/>
          <w:kern w:val="2"/>
          <w:sz w:val="32"/>
          <w:szCs w:val="32"/>
        </w:rPr>
        <w:t>费每人</w:t>
      </w:r>
      <w:r>
        <w:rPr>
          <w:rFonts w:hint="eastAsia" w:ascii="仿宋" w:hAnsi="仿宋" w:eastAsia="仿宋" w:cs="Times New Roman"/>
          <w:color w:val="141414"/>
          <w:kern w:val="2"/>
          <w:sz w:val="32"/>
          <w:szCs w:val="32"/>
          <w:lang w:val="en-US" w:eastAsia="zh-CN"/>
        </w:rPr>
        <w:t>1</w:t>
      </w:r>
      <w:r>
        <w:rPr>
          <w:rFonts w:hint="eastAsia" w:ascii="仿宋" w:hAnsi="仿宋" w:eastAsia="仿宋" w:cs="Times New Roman"/>
          <w:color w:val="141414"/>
          <w:kern w:val="2"/>
          <w:sz w:val="32"/>
          <w:szCs w:val="32"/>
        </w:rPr>
        <w:t>00元（</w:t>
      </w:r>
      <w:r>
        <w:rPr>
          <w:rFonts w:hint="eastAsia" w:ascii="仿宋" w:hAnsi="仿宋" w:eastAsia="仿宋" w:cs="Times New Roman"/>
          <w:color w:val="141414"/>
          <w:kern w:val="2"/>
          <w:sz w:val="32"/>
          <w:szCs w:val="32"/>
          <w:lang w:val="en-US" w:eastAsia="zh-CN"/>
        </w:rPr>
        <w:t>重修费</w:t>
      </w:r>
      <w:r>
        <w:rPr>
          <w:rFonts w:hint="eastAsia" w:ascii="仿宋" w:hAnsi="仿宋" w:eastAsia="仿宋" w:cs="Times New Roman"/>
          <w:color w:val="141414"/>
          <w:kern w:val="2"/>
          <w:sz w:val="32"/>
          <w:szCs w:val="32"/>
        </w:rPr>
        <w:t>每人</w:t>
      </w:r>
      <w:r>
        <w:rPr>
          <w:rFonts w:hint="eastAsia" w:ascii="仿宋" w:hAnsi="仿宋" w:eastAsia="仿宋" w:cs="Times New Roman"/>
          <w:color w:val="141414"/>
          <w:kern w:val="2"/>
          <w:sz w:val="32"/>
          <w:szCs w:val="32"/>
          <w:lang w:val="en-US" w:eastAsia="zh-CN"/>
        </w:rPr>
        <w:t>1</w:t>
      </w:r>
      <w:r>
        <w:rPr>
          <w:rFonts w:hint="eastAsia" w:ascii="仿宋" w:hAnsi="仿宋" w:eastAsia="仿宋" w:cs="Times New Roman"/>
          <w:color w:val="141414"/>
          <w:kern w:val="2"/>
          <w:sz w:val="32"/>
          <w:szCs w:val="32"/>
        </w:rPr>
        <w:t>00元，由</w:t>
      </w:r>
      <w:r>
        <w:rPr>
          <w:rFonts w:hint="eastAsia" w:ascii="仿宋" w:hAnsi="仿宋" w:eastAsia="仿宋" w:cs="Times New Roman"/>
          <w:color w:val="141414"/>
          <w:kern w:val="2"/>
          <w:sz w:val="32"/>
          <w:szCs w:val="32"/>
          <w:lang w:val="en-US" w:eastAsia="zh-CN"/>
        </w:rPr>
        <w:t>重修</w:t>
      </w:r>
      <w:r>
        <w:rPr>
          <w:rFonts w:hint="eastAsia" w:ascii="仿宋" w:hAnsi="仿宋" w:eastAsia="仿宋" w:cs="Times New Roman"/>
          <w:color w:val="141414"/>
          <w:kern w:val="2"/>
          <w:sz w:val="32"/>
          <w:szCs w:val="32"/>
        </w:rPr>
        <w:t>教师交至财务处）。</w:t>
      </w:r>
    </w:p>
    <w:p w14:paraId="0D6A20CB">
      <w:pPr>
        <w:spacing w:line="560" w:lineRule="exact"/>
        <w:ind w:firstLine="640" w:firstLineChars="200"/>
        <w:rPr>
          <w:rFonts w:ascii="仿宋" w:hAnsi="仿宋" w:eastAsia="仿宋"/>
          <w:color w:val="141414"/>
          <w:sz w:val="32"/>
          <w:szCs w:val="32"/>
        </w:rPr>
      </w:pPr>
      <w:r>
        <w:rPr>
          <w:rFonts w:hint="eastAsia" w:ascii="仿宋" w:hAnsi="仿宋" w:eastAsia="仿宋"/>
          <w:color w:val="141414"/>
          <w:sz w:val="32"/>
          <w:szCs w:val="32"/>
        </w:rPr>
        <w:t xml:space="preserve">   特此通知。</w:t>
      </w:r>
    </w:p>
    <w:p w14:paraId="3610E45A">
      <w:pPr>
        <w:spacing w:line="560" w:lineRule="exact"/>
        <w:ind w:firstLine="640" w:firstLineChars="200"/>
        <w:rPr>
          <w:rFonts w:ascii="仿宋" w:hAnsi="仿宋" w:eastAsia="仿宋"/>
          <w:color w:val="141414"/>
          <w:sz w:val="32"/>
          <w:szCs w:val="32"/>
        </w:rPr>
      </w:pPr>
    </w:p>
    <w:p w14:paraId="11409D77">
      <w:pPr>
        <w:spacing w:line="560" w:lineRule="exact"/>
        <w:ind w:firstLine="640" w:firstLineChars="200"/>
        <w:rPr>
          <w:rFonts w:ascii="仿宋" w:hAnsi="仿宋" w:eastAsia="仿宋" w:cs="宋体"/>
          <w:kern w:val="0"/>
          <w:sz w:val="32"/>
          <w:szCs w:val="32"/>
        </w:rPr>
      </w:pPr>
      <w:r>
        <w:rPr>
          <w:rFonts w:hint="eastAsia" w:ascii="仿宋" w:hAnsi="仿宋" w:eastAsia="仿宋" w:cs="宋体"/>
          <w:kern w:val="0"/>
          <w:sz w:val="32"/>
          <w:szCs w:val="32"/>
        </w:rPr>
        <w:t>附件：202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年岗前培训报名表</w:t>
      </w:r>
    </w:p>
    <w:p w14:paraId="5682BBDB">
      <w:pPr>
        <w:spacing w:line="480" w:lineRule="exact"/>
        <w:ind w:firstLine="640" w:firstLineChars="200"/>
        <w:rPr>
          <w:rFonts w:ascii="仿宋" w:hAnsi="仿宋" w:eastAsia="仿宋" w:cs="宋体"/>
          <w:kern w:val="0"/>
          <w:sz w:val="32"/>
          <w:szCs w:val="32"/>
        </w:rPr>
      </w:pPr>
    </w:p>
    <w:p w14:paraId="313A2A82">
      <w:pPr>
        <w:spacing w:line="480" w:lineRule="exact"/>
        <w:ind w:firstLine="640" w:firstLineChars="200"/>
        <w:rPr>
          <w:rFonts w:ascii="仿宋" w:hAnsi="仿宋" w:eastAsia="仿宋" w:cs="宋体"/>
          <w:kern w:val="0"/>
          <w:sz w:val="32"/>
          <w:szCs w:val="32"/>
        </w:rPr>
      </w:pPr>
    </w:p>
    <w:p w14:paraId="210C6BC0">
      <w:pPr>
        <w:spacing w:line="480" w:lineRule="exact"/>
        <w:ind w:firstLine="640" w:firstLineChars="200"/>
        <w:rPr>
          <w:rFonts w:ascii="仿宋" w:hAnsi="仿宋" w:eastAsia="仿宋" w:cs="宋体"/>
          <w:kern w:val="0"/>
          <w:sz w:val="32"/>
          <w:szCs w:val="32"/>
        </w:rPr>
      </w:pPr>
    </w:p>
    <w:p w14:paraId="5F3CC749">
      <w:pPr>
        <w:spacing w:line="480" w:lineRule="exact"/>
        <w:ind w:firstLine="640" w:firstLineChars="200"/>
        <w:rPr>
          <w:rFonts w:ascii="仿宋" w:hAnsi="仿宋" w:eastAsia="仿宋" w:cs="宋体"/>
          <w:kern w:val="0"/>
          <w:sz w:val="32"/>
          <w:szCs w:val="32"/>
        </w:rPr>
      </w:pPr>
    </w:p>
    <w:p w14:paraId="22716F0E">
      <w:pPr>
        <w:spacing w:line="480" w:lineRule="exact"/>
        <w:ind w:firstLine="640" w:firstLineChars="200"/>
        <w:rPr>
          <w:rFonts w:ascii="仿宋" w:hAnsi="仿宋" w:eastAsia="仿宋" w:cs="宋体"/>
          <w:kern w:val="0"/>
          <w:sz w:val="32"/>
          <w:szCs w:val="32"/>
        </w:rPr>
      </w:pPr>
    </w:p>
    <w:p w14:paraId="27702580">
      <w:pPr>
        <w:spacing w:line="480" w:lineRule="exact"/>
        <w:ind w:firstLine="2880" w:firstLineChars="900"/>
        <w:jc w:val="right"/>
        <w:rPr>
          <w:rFonts w:ascii="仿宋" w:hAnsi="仿宋" w:eastAsia="仿宋" w:cs="宋体"/>
          <w:kern w:val="0"/>
          <w:sz w:val="32"/>
          <w:szCs w:val="32"/>
        </w:rPr>
      </w:pPr>
      <w:r>
        <w:rPr>
          <w:rFonts w:hint="eastAsia" w:ascii="仿宋" w:hAnsi="仿宋" w:eastAsia="仿宋" w:cs="宋体"/>
          <w:kern w:val="0"/>
          <w:sz w:val="32"/>
          <w:szCs w:val="32"/>
        </w:rPr>
        <w:t xml:space="preserve">组织人事处 </w:t>
      </w:r>
    </w:p>
    <w:p w14:paraId="0F1F68A6">
      <w:pPr>
        <w:spacing w:line="480" w:lineRule="exact"/>
        <w:ind w:firstLine="3200" w:firstLineChars="1000"/>
        <w:jc w:val="right"/>
        <w:rPr>
          <w:rFonts w:ascii="仿宋" w:hAnsi="仿宋" w:eastAsia="仿宋" w:cs="宋体"/>
          <w:kern w:val="0"/>
          <w:sz w:val="32"/>
          <w:szCs w:val="32"/>
        </w:rPr>
      </w:pPr>
      <w:r>
        <w:rPr>
          <w:rFonts w:hint="eastAsia" w:ascii="仿宋" w:hAnsi="仿宋" w:eastAsia="仿宋" w:cs="宋体"/>
          <w:kern w:val="0"/>
          <w:sz w:val="32"/>
          <w:szCs w:val="32"/>
        </w:rPr>
        <w:t>202</w:t>
      </w:r>
      <w:r>
        <w:rPr>
          <w:rFonts w:hint="eastAsia" w:ascii="仿宋" w:hAnsi="仿宋" w:eastAsia="仿宋" w:cs="宋体"/>
          <w:kern w:val="0"/>
          <w:sz w:val="32"/>
          <w:szCs w:val="32"/>
          <w:lang w:val="en-US" w:eastAsia="zh-CN"/>
        </w:rPr>
        <w:t>4</w:t>
      </w:r>
      <w:r>
        <w:rPr>
          <w:rFonts w:hint="eastAsia" w:ascii="仿宋" w:hAnsi="仿宋" w:eastAsia="仿宋" w:cs="宋体"/>
          <w:kern w:val="0"/>
          <w:sz w:val="32"/>
          <w:szCs w:val="32"/>
        </w:rPr>
        <w:t>年</w:t>
      </w:r>
      <w:r>
        <w:rPr>
          <w:rFonts w:hint="eastAsia" w:ascii="仿宋" w:hAnsi="仿宋" w:eastAsia="仿宋" w:cs="宋体"/>
          <w:kern w:val="0"/>
          <w:sz w:val="32"/>
          <w:szCs w:val="32"/>
          <w:lang w:val="en-US" w:eastAsia="zh-CN"/>
        </w:rPr>
        <w:t>9</w:t>
      </w:r>
      <w:r>
        <w:rPr>
          <w:rFonts w:hint="eastAsia" w:ascii="仿宋" w:hAnsi="仿宋" w:eastAsia="仿宋" w:cs="宋体"/>
          <w:kern w:val="0"/>
          <w:sz w:val="32"/>
          <w:szCs w:val="32"/>
        </w:rPr>
        <w:t>月</w:t>
      </w:r>
      <w:r>
        <w:rPr>
          <w:rFonts w:hint="eastAsia" w:ascii="仿宋" w:hAnsi="仿宋" w:eastAsia="仿宋" w:cs="宋体"/>
          <w:kern w:val="0"/>
          <w:sz w:val="32"/>
          <w:szCs w:val="32"/>
          <w:lang w:val="en-US" w:eastAsia="zh-CN"/>
        </w:rPr>
        <w:t>30</w:t>
      </w:r>
      <w:r>
        <w:rPr>
          <w:rFonts w:hint="eastAsia" w:ascii="仿宋" w:hAnsi="仿宋" w:eastAsia="仿宋" w:cs="宋体"/>
          <w:kern w:val="0"/>
          <w:sz w:val="32"/>
          <w:szCs w:val="32"/>
        </w:rPr>
        <w:t>日</w:t>
      </w:r>
    </w:p>
    <w:p w14:paraId="6A51DC20">
      <w:pPr>
        <w:spacing w:line="500" w:lineRule="exact"/>
        <w:ind w:firstLine="3520" w:firstLineChars="1100"/>
        <w:jc w:val="right"/>
        <w:rPr>
          <w:rFonts w:ascii="仿宋" w:hAnsi="仿宋" w:eastAsia="仿宋" w:cs="宋体"/>
          <w:kern w:val="0"/>
          <w:sz w:val="32"/>
          <w:szCs w:val="32"/>
        </w:rPr>
      </w:pPr>
    </w:p>
    <w:p w14:paraId="06F658D8">
      <w:pPr>
        <w:spacing w:line="500" w:lineRule="exact"/>
        <w:ind w:firstLine="3520" w:firstLineChars="1100"/>
        <w:jc w:val="right"/>
        <w:rPr>
          <w:rFonts w:ascii="仿宋" w:hAnsi="仿宋" w:eastAsia="仿宋" w:cs="宋体"/>
          <w:kern w:val="0"/>
          <w:sz w:val="32"/>
          <w:szCs w:val="32"/>
        </w:rPr>
      </w:pPr>
    </w:p>
    <w:p w14:paraId="021AD65A">
      <w:pPr>
        <w:spacing w:line="500" w:lineRule="exact"/>
        <w:rPr>
          <w:rFonts w:asciiTheme="majorEastAsia" w:hAnsiTheme="majorEastAsia" w:eastAsiaTheme="majorEastAsia"/>
          <w:sz w:val="44"/>
          <w:szCs w:val="44"/>
        </w:rPr>
      </w:pPr>
    </w:p>
    <w:sectPr>
      <w:pgSz w:w="11906" w:h="16838"/>
      <w:pgMar w:top="1361" w:right="1758" w:bottom="1361" w:left="175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浠垮畫">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hmYmE4OGQ4M2NkY2M4YWIyMGVlZDQzMzdmYTkwZmMifQ=="/>
  </w:docVars>
  <w:rsids>
    <w:rsidRoot w:val="00CC258B"/>
    <w:rsid w:val="00021E85"/>
    <w:rsid w:val="00026AA6"/>
    <w:rsid w:val="0006113F"/>
    <w:rsid w:val="00062695"/>
    <w:rsid w:val="00065E83"/>
    <w:rsid w:val="000941D5"/>
    <w:rsid w:val="00096300"/>
    <w:rsid w:val="000B7D67"/>
    <w:rsid w:val="000C2EC9"/>
    <w:rsid w:val="000E2D08"/>
    <w:rsid w:val="000F77E6"/>
    <w:rsid w:val="00107CDC"/>
    <w:rsid w:val="00120DB3"/>
    <w:rsid w:val="001215B6"/>
    <w:rsid w:val="00144267"/>
    <w:rsid w:val="00145281"/>
    <w:rsid w:val="00145E31"/>
    <w:rsid w:val="00152C33"/>
    <w:rsid w:val="00155A94"/>
    <w:rsid w:val="00164BAF"/>
    <w:rsid w:val="00166099"/>
    <w:rsid w:val="0019666A"/>
    <w:rsid w:val="001A651E"/>
    <w:rsid w:val="001A6FDA"/>
    <w:rsid w:val="001B2AE8"/>
    <w:rsid w:val="001C4B1C"/>
    <w:rsid w:val="001E799C"/>
    <w:rsid w:val="00204100"/>
    <w:rsid w:val="00206635"/>
    <w:rsid w:val="0023097B"/>
    <w:rsid w:val="00244404"/>
    <w:rsid w:val="00261471"/>
    <w:rsid w:val="00267CCB"/>
    <w:rsid w:val="00273194"/>
    <w:rsid w:val="00275767"/>
    <w:rsid w:val="00296BBD"/>
    <w:rsid w:val="002E0092"/>
    <w:rsid w:val="002F10B2"/>
    <w:rsid w:val="00310018"/>
    <w:rsid w:val="00316CAF"/>
    <w:rsid w:val="00334A73"/>
    <w:rsid w:val="00335339"/>
    <w:rsid w:val="0035130E"/>
    <w:rsid w:val="003645C9"/>
    <w:rsid w:val="003F0CC1"/>
    <w:rsid w:val="00403BF4"/>
    <w:rsid w:val="00414B6B"/>
    <w:rsid w:val="0041502A"/>
    <w:rsid w:val="00425623"/>
    <w:rsid w:val="00432058"/>
    <w:rsid w:val="00441C95"/>
    <w:rsid w:val="00445FBD"/>
    <w:rsid w:val="0044791A"/>
    <w:rsid w:val="00450664"/>
    <w:rsid w:val="00464BFF"/>
    <w:rsid w:val="004841FD"/>
    <w:rsid w:val="004A7A68"/>
    <w:rsid w:val="004B3D55"/>
    <w:rsid w:val="004B6564"/>
    <w:rsid w:val="004D0FA3"/>
    <w:rsid w:val="004D4A52"/>
    <w:rsid w:val="004E28E0"/>
    <w:rsid w:val="004F20D9"/>
    <w:rsid w:val="004F3A55"/>
    <w:rsid w:val="00520829"/>
    <w:rsid w:val="0052441A"/>
    <w:rsid w:val="0053066C"/>
    <w:rsid w:val="00530E2F"/>
    <w:rsid w:val="00535349"/>
    <w:rsid w:val="005432E8"/>
    <w:rsid w:val="005438C8"/>
    <w:rsid w:val="00561EFE"/>
    <w:rsid w:val="00574DA2"/>
    <w:rsid w:val="005755E3"/>
    <w:rsid w:val="00592146"/>
    <w:rsid w:val="005A6C96"/>
    <w:rsid w:val="005D7AF4"/>
    <w:rsid w:val="005E76B5"/>
    <w:rsid w:val="00603515"/>
    <w:rsid w:val="00615163"/>
    <w:rsid w:val="006208A1"/>
    <w:rsid w:val="00640FD7"/>
    <w:rsid w:val="0065127A"/>
    <w:rsid w:val="006A0585"/>
    <w:rsid w:val="006A32BA"/>
    <w:rsid w:val="006B17C9"/>
    <w:rsid w:val="006C09BF"/>
    <w:rsid w:val="006D1F0D"/>
    <w:rsid w:val="007071EC"/>
    <w:rsid w:val="0071202B"/>
    <w:rsid w:val="00712DDE"/>
    <w:rsid w:val="007135CF"/>
    <w:rsid w:val="00726F6B"/>
    <w:rsid w:val="00732785"/>
    <w:rsid w:val="007512E1"/>
    <w:rsid w:val="0076655B"/>
    <w:rsid w:val="00781E9E"/>
    <w:rsid w:val="007B24C8"/>
    <w:rsid w:val="007D3CAC"/>
    <w:rsid w:val="007D419D"/>
    <w:rsid w:val="007D45AE"/>
    <w:rsid w:val="007E10B1"/>
    <w:rsid w:val="0083504E"/>
    <w:rsid w:val="00852C9B"/>
    <w:rsid w:val="00866C4E"/>
    <w:rsid w:val="008744AF"/>
    <w:rsid w:val="00883F56"/>
    <w:rsid w:val="008A0839"/>
    <w:rsid w:val="008A5455"/>
    <w:rsid w:val="008C1472"/>
    <w:rsid w:val="008C3789"/>
    <w:rsid w:val="008D6AD8"/>
    <w:rsid w:val="008E7BDC"/>
    <w:rsid w:val="008F588B"/>
    <w:rsid w:val="0093253B"/>
    <w:rsid w:val="0095307E"/>
    <w:rsid w:val="00961656"/>
    <w:rsid w:val="00971674"/>
    <w:rsid w:val="00971DF9"/>
    <w:rsid w:val="009765AD"/>
    <w:rsid w:val="009B34D2"/>
    <w:rsid w:val="009B4540"/>
    <w:rsid w:val="009E5D32"/>
    <w:rsid w:val="009E75D8"/>
    <w:rsid w:val="009F2A8D"/>
    <w:rsid w:val="009F2C56"/>
    <w:rsid w:val="009F61A9"/>
    <w:rsid w:val="00A068F2"/>
    <w:rsid w:val="00A6627E"/>
    <w:rsid w:val="00A77C6B"/>
    <w:rsid w:val="00A806F4"/>
    <w:rsid w:val="00A91D25"/>
    <w:rsid w:val="00AA76A8"/>
    <w:rsid w:val="00AB00AC"/>
    <w:rsid w:val="00AB566B"/>
    <w:rsid w:val="00AC29DE"/>
    <w:rsid w:val="00AC3942"/>
    <w:rsid w:val="00AC5DA4"/>
    <w:rsid w:val="00AE17A8"/>
    <w:rsid w:val="00AF123C"/>
    <w:rsid w:val="00AF6283"/>
    <w:rsid w:val="00B00AA7"/>
    <w:rsid w:val="00B20AD2"/>
    <w:rsid w:val="00B35EF6"/>
    <w:rsid w:val="00B5661B"/>
    <w:rsid w:val="00B566F8"/>
    <w:rsid w:val="00B5674D"/>
    <w:rsid w:val="00B8378D"/>
    <w:rsid w:val="00BB56C1"/>
    <w:rsid w:val="00BC62A1"/>
    <w:rsid w:val="00BD1BD2"/>
    <w:rsid w:val="00BE48ED"/>
    <w:rsid w:val="00C03D23"/>
    <w:rsid w:val="00C15D35"/>
    <w:rsid w:val="00C63D5B"/>
    <w:rsid w:val="00C6648A"/>
    <w:rsid w:val="00C66627"/>
    <w:rsid w:val="00C73E5E"/>
    <w:rsid w:val="00C97BCC"/>
    <w:rsid w:val="00CA537D"/>
    <w:rsid w:val="00CA6747"/>
    <w:rsid w:val="00CA7B02"/>
    <w:rsid w:val="00CC258B"/>
    <w:rsid w:val="00CD5E73"/>
    <w:rsid w:val="00CF4B2E"/>
    <w:rsid w:val="00D02DF4"/>
    <w:rsid w:val="00D1019B"/>
    <w:rsid w:val="00D20CC3"/>
    <w:rsid w:val="00D20D3C"/>
    <w:rsid w:val="00D25443"/>
    <w:rsid w:val="00D269C9"/>
    <w:rsid w:val="00D27A6D"/>
    <w:rsid w:val="00D40287"/>
    <w:rsid w:val="00D406CB"/>
    <w:rsid w:val="00D44A11"/>
    <w:rsid w:val="00D46BB8"/>
    <w:rsid w:val="00D523AD"/>
    <w:rsid w:val="00D54BF4"/>
    <w:rsid w:val="00D56B82"/>
    <w:rsid w:val="00D66D9E"/>
    <w:rsid w:val="00D76DB3"/>
    <w:rsid w:val="00DB3D79"/>
    <w:rsid w:val="00DD1661"/>
    <w:rsid w:val="00DE5864"/>
    <w:rsid w:val="00DF2A7D"/>
    <w:rsid w:val="00DF7092"/>
    <w:rsid w:val="00E076CD"/>
    <w:rsid w:val="00E161DA"/>
    <w:rsid w:val="00E429FD"/>
    <w:rsid w:val="00E4505A"/>
    <w:rsid w:val="00E4549C"/>
    <w:rsid w:val="00E75398"/>
    <w:rsid w:val="00E77520"/>
    <w:rsid w:val="00E85880"/>
    <w:rsid w:val="00E9641D"/>
    <w:rsid w:val="00EA63CC"/>
    <w:rsid w:val="00EB536F"/>
    <w:rsid w:val="00ED1828"/>
    <w:rsid w:val="00EF1212"/>
    <w:rsid w:val="00EF26DC"/>
    <w:rsid w:val="00EF4783"/>
    <w:rsid w:val="00F04592"/>
    <w:rsid w:val="00F16B06"/>
    <w:rsid w:val="00F16D59"/>
    <w:rsid w:val="00F279CA"/>
    <w:rsid w:val="00F41D4F"/>
    <w:rsid w:val="00F509D1"/>
    <w:rsid w:val="00F5351E"/>
    <w:rsid w:val="00F618BF"/>
    <w:rsid w:val="00F643B1"/>
    <w:rsid w:val="00F70B5C"/>
    <w:rsid w:val="00F710B4"/>
    <w:rsid w:val="00F8388A"/>
    <w:rsid w:val="00F845E9"/>
    <w:rsid w:val="00F919FB"/>
    <w:rsid w:val="00FA1CA3"/>
    <w:rsid w:val="00FC6321"/>
    <w:rsid w:val="00FC6859"/>
    <w:rsid w:val="00FE513D"/>
    <w:rsid w:val="19756550"/>
    <w:rsid w:val="30D92429"/>
    <w:rsid w:val="4B286121"/>
    <w:rsid w:val="4E7B4B9C"/>
    <w:rsid w:val="558C74ED"/>
    <w:rsid w:val="788437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nhideWhenUsed="0" w:uiPriority="99" w:semiHidden="0"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10">
    <w:name w:val="Default Paragraph Font"/>
    <w:semiHidden/>
    <w:unhideWhenUsed/>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next w:val="1"/>
    <w:qFormat/>
    <w:uiPriority w:val="99"/>
    <w:pPr>
      <w:ind w:firstLine="420" w:firstLineChars="200"/>
    </w:pPr>
  </w:style>
  <w:style w:type="paragraph" w:styleId="3">
    <w:name w:val="Body Text Indent"/>
    <w:basedOn w:val="1"/>
    <w:next w:val="4"/>
    <w:qFormat/>
    <w:uiPriority w:val="99"/>
    <w:pPr>
      <w:ind w:left="420" w:leftChars="200"/>
    </w:pPr>
  </w:style>
  <w:style w:type="paragraph" w:styleId="4">
    <w:name w:val="envelope return"/>
    <w:basedOn w:val="1"/>
    <w:qFormat/>
    <w:uiPriority w:val="99"/>
    <w:pPr>
      <w:snapToGrid w:val="0"/>
    </w:pPr>
    <w:rPr>
      <w:rFonts w:ascii="Arial" w:hAnsi="Arial"/>
    </w:rPr>
  </w:style>
  <w:style w:type="paragraph" w:styleId="5">
    <w:name w:val="Date"/>
    <w:basedOn w:val="1"/>
    <w:next w:val="1"/>
    <w:link w:val="15"/>
    <w:semiHidden/>
    <w:unhideWhenUsed/>
    <w:uiPriority w:val="99"/>
    <w:pPr>
      <w:ind w:left="100" w:leftChars="2500"/>
    </w:pPr>
  </w:style>
  <w:style w:type="paragraph" w:styleId="6">
    <w:name w:val="footer"/>
    <w:basedOn w:val="1"/>
    <w:link w:val="13"/>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7">
    <w:name w:val="header"/>
    <w:basedOn w:val="1"/>
    <w:link w:val="12"/>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8">
    <w:name w:val="Normal (Web)"/>
    <w:basedOn w:val="1"/>
    <w:unhideWhenUsed/>
    <w:uiPriority w:val="99"/>
    <w:pPr>
      <w:widowControl/>
      <w:spacing w:before="100" w:beforeAutospacing="1" w:after="100" w:afterAutospacing="1"/>
      <w:jc w:val="left"/>
    </w:pPr>
    <w:rPr>
      <w:rFonts w:ascii="宋体" w:hAnsi="宋体" w:cs="宋体"/>
      <w:kern w:val="0"/>
      <w:sz w:val="24"/>
    </w:rPr>
  </w:style>
  <w:style w:type="character" w:styleId="11">
    <w:name w:val="Hyperlink"/>
    <w:basedOn w:val="10"/>
    <w:unhideWhenUsed/>
    <w:uiPriority w:val="99"/>
    <w:rPr>
      <w:color w:val="0000FF" w:themeColor="hyperlink"/>
      <w:u w:val="single"/>
      <w14:textFill>
        <w14:solidFill>
          <w14:schemeClr w14:val="hlink"/>
        </w14:solidFill>
      </w14:textFill>
    </w:rPr>
  </w:style>
  <w:style w:type="character" w:customStyle="1" w:styleId="12">
    <w:name w:val="页眉 Char"/>
    <w:basedOn w:val="10"/>
    <w:link w:val="7"/>
    <w:uiPriority w:val="99"/>
    <w:rPr>
      <w:sz w:val="18"/>
      <w:szCs w:val="18"/>
    </w:rPr>
  </w:style>
  <w:style w:type="character" w:customStyle="1" w:styleId="13">
    <w:name w:val="页脚 Char"/>
    <w:basedOn w:val="10"/>
    <w:link w:val="6"/>
    <w:qFormat/>
    <w:uiPriority w:val="99"/>
    <w:rPr>
      <w:sz w:val="18"/>
      <w:szCs w:val="18"/>
    </w:rPr>
  </w:style>
  <w:style w:type="paragraph" w:customStyle="1" w:styleId="14">
    <w:name w:val="标题1"/>
    <w:basedOn w:val="1"/>
    <w:uiPriority w:val="0"/>
    <w:pPr>
      <w:widowControl/>
      <w:spacing w:before="100" w:beforeAutospacing="1" w:after="100" w:afterAutospacing="1" w:line="600" w:lineRule="atLeast"/>
      <w:jc w:val="left"/>
    </w:pPr>
    <w:rPr>
      <w:rFonts w:ascii="宋体" w:hAnsi="宋体" w:cs="宋体"/>
      <w:kern w:val="0"/>
      <w:sz w:val="36"/>
      <w:szCs w:val="36"/>
    </w:rPr>
  </w:style>
  <w:style w:type="character" w:customStyle="1" w:styleId="15">
    <w:name w:val="日期 Char"/>
    <w:basedOn w:val="10"/>
    <w:link w:val="5"/>
    <w:semiHidden/>
    <w:uiPriority w:val="99"/>
    <w:rPr>
      <w:kern w:val="2"/>
      <w:sz w:val="21"/>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Pages>
  <Words>1852</Words>
  <Characters>1926</Characters>
  <Lines>13</Lines>
  <Paragraphs>3</Paragraphs>
  <TotalTime>1</TotalTime>
  <ScaleCrop>false</ScaleCrop>
  <LinksUpToDate>false</LinksUpToDate>
  <CharactersWithSpaces>1934</CharactersWithSpaces>
  <Application>WPS Office_12.1.0.18276_F1E327BC-269C-435d-A152-05C5408002CA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2022-10-17T08:30:00Z</dcterms:created>
  <dc:creator>PC</dc:creator>
  <cp:lastModifiedBy>Monkey</cp:lastModifiedBy>
  <cp:lastPrinted>2022-10-13T09:11:00Z</cp:lastPrinted>
  <dcterms:modified xsi:type="dcterms:W3CDTF">2024-09-30T03:02:56Z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D4C51DED04814B78915A11E056CF58CB_13</vt:lpwstr>
  </property>
</Properties>
</file>