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ind w:left="0" w:leftChars="0" w:firstLine="0" w:firstLineChars="0"/>
      </w:pP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桐城师范高等专科学校软件正版化建设项目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014</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8"/>
        <w:tabs>
          <w:tab w:val="right" w:leader="dot" w:pos="9070"/>
        </w:tabs>
        <w:spacing w:line="360" w:lineRule="auto"/>
        <w:rPr>
          <w:color w:val="auto"/>
          <w:sz w:val="28"/>
          <w:szCs w:val="24"/>
          <w:highlight w:val="none"/>
        </w:rPr>
      </w:pPr>
      <w:bookmarkStart w:id="0" w:name="_Toc21464"/>
      <w:bookmarkStart w:id="1" w:name="_Toc23467"/>
      <w:bookmarkStart w:id="2" w:name="_Toc54941328"/>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6</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1967"/>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14</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桐城师范高等专科学校</w:t>
      </w:r>
      <w:bookmarkStart w:id="131" w:name="_GoBack"/>
      <w:bookmarkEnd w:id="131"/>
      <w:r>
        <w:rPr>
          <w:rFonts w:hint="eastAsia" w:ascii="宋体" w:hAnsi="宋体" w:eastAsia="宋体"/>
          <w:color w:val="auto"/>
          <w:sz w:val="24"/>
          <w:szCs w:val="18"/>
          <w:highlight w:val="none"/>
          <w:u w:val="single"/>
        </w:rPr>
        <w:t>软件正版化建设</w:t>
      </w:r>
      <w:r>
        <w:rPr>
          <w:rFonts w:hint="eastAsia" w:ascii="宋体" w:hAnsi="宋体" w:eastAsia="宋体"/>
          <w:color w:val="auto"/>
          <w:sz w:val="24"/>
          <w:szCs w:val="18"/>
          <w:highlight w:val="none"/>
          <w:u w:val="single"/>
          <w:lang w:val="en-US" w:eastAsia="zh-CN"/>
        </w:rPr>
        <w:t>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150000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150000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桐城师范高等专科学校软件正版化建设</w:t>
      </w:r>
      <w:r>
        <w:rPr>
          <w:rFonts w:hint="eastAsia" w:ascii="宋体" w:hAnsi="宋体" w:eastAsia="宋体"/>
          <w:color w:val="auto"/>
          <w:sz w:val="24"/>
          <w:szCs w:val="18"/>
          <w:highlight w:val="none"/>
          <w:u w:val="single"/>
          <w:lang w:val="en-US" w:eastAsia="zh-CN"/>
        </w:rPr>
        <w:t>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 30个工作日内，完成与学校正版化平台的无缝对接，并完成本次采购的所有软件镜像安装包部署，并自软件部署完成之日起提供1年的免费售后服务和技术支持</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5862"/>
      <w:bookmarkStart w:id="10"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50148E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zh-CN"/>
        </w:rPr>
        <w:t>供应商或产品制造商</w:t>
      </w:r>
      <w:r>
        <w:rPr>
          <w:rFonts w:hint="eastAsia" w:asciiTheme="minorEastAsia" w:hAnsiTheme="minorEastAsia" w:eastAsiaTheme="minorEastAsia"/>
          <w:color w:val="auto"/>
          <w:sz w:val="24"/>
          <w:highlight w:val="none"/>
        </w:rPr>
        <w:t>自2023年01月01日以来（以合同签订时间为准）具有安徽省高校正版软件管理平台项目业绩。（</w:t>
      </w:r>
      <w:r>
        <w:rPr>
          <w:rFonts w:hint="eastAsia" w:asciiTheme="minorEastAsia" w:hAnsiTheme="minorEastAsia" w:eastAsiaTheme="minorEastAsia"/>
          <w:color w:val="auto"/>
          <w:sz w:val="24"/>
          <w:highlight w:val="none"/>
          <w:lang w:val="zh-CN"/>
        </w:rPr>
        <w:t>注：提供业绩合同（或协议）扫描件。</w:t>
      </w:r>
      <w:r>
        <w:rPr>
          <w:rFonts w:hint="eastAsia" w:asciiTheme="minorEastAsia" w:hAnsiTheme="minorEastAsia" w:eastAsiaTheme="minorEastAsia"/>
          <w:color w:val="auto"/>
          <w:sz w:val="24"/>
          <w:highlight w:val="none"/>
        </w:rPr>
        <w:t>）</w:t>
      </w:r>
    </w:p>
    <w:p w14:paraId="3BA13CD6">
      <w:pPr>
        <w:spacing w:line="360" w:lineRule="auto"/>
        <w:ind w:firstLine="435"/>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12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12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纸质响应文件提交至桐城市文昌街道徐庄安置点4期6幢114-115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12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桐城市文昌街道徐庄安置点4期6幢114-115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21264"/>
      <w:bookmarkStart w:id="24" w:name="_Toc16366"/>
      <w:bookmarkStart w:id="25" w:name="_Toc35393795"/>
      <w:bookmarkStart w:id="26" w:name="_Toc3539362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24122"/>
      <w:bookmarkStart w:id="28" w:name="_Toc7755"/>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王</w:t>
      </w:r>
      <w:r>
        <w:rPr>
          <w:rFonts w:hint="eastAsia" w:ascii="宋体" w:hAnsi="宋体" w:eastAsia="宋体"/>
          <w:color w:val="auto"/>
          <w:sz w:val="24"/>
          <w:szCs w:val="18"/>
          <w:highlight w:val="none"/>
          <w:lang w:val="en-US" w:eastAsia="zh-CN"/>
        </w:rPr>
        <w:t>老师          联系方式：</w:t>
      </w:r>
      <w:r>
        <w:rPr>
          <w:rFonts w:hint="eastAsia" w:ascii="宋体" w:hAnsi="宋体"/>
          <w:color w:val="auto"/>
          <w:sz w:val="24"/>
          <w:szCs w:val="18"/>
          <w:highlight w:val="none"/>
          <w:lang w:val="en-US" w:eastAsia="zh-CN"/>
        </w:rPr>
        <w:t>18130512997</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名称：宏骏工程管理有限公司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地址：桐城市文昌街道徐庄安置点4期6幢114-115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联系人：齐女士           联系电话：13855669358</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54941329"/>
      <w:bookmarkStart w:id="31" w:name="_Toc11266"/>
      <w:bookmarkStart w:id="32" w:name="_Toc2521"/>
      <w:bookmarkStart w:id="33" w:name="_Toc54941331"/>
      <w:bookmarkStart w:id="34"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17862"/>
      <w:bookmarkStart w:id="36" w:name="_Toc439316871"/>
      <w:bookmarkStart w:id="37" w:name="_Toc54941330"/>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rPr>
              <w:t>202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8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12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39"/>
        <w:rPr>
          <w:rFonts w:hint="eastAsia" w:cs="Tahoma"/>
          <w:bCs/>
          <w:color w:val="auto"/>
          <w:kern w:val="0"/>
          <w:sz w:val="32"/>
          <w:szCs w:val="32"/>
          <w:highlight w:val="none"/>
          <w:lang w:val="en-US" w:eastAsia="zh-CN"/>
        </w:rPr>
      </w:pPr>
    </w:p>
    <w:p w14:paraId="2136D265">
      <w:pPr>
        <w:pStyle w:val="39"/>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7325"/>
      <w:bookmarkStart w:id="40" w:name="_Toc25270"/>
      <w:bookmarkStart w:id="41" w:name="_Toc21078"/>
      <w:bookmarkStart w:id="42" w:name="_Toc10523"/>
      <w:bookmarkStart w:id="43" w:name="_Toc15055"/>
      <w:bookmarkStart w:id="44" w:name="_Toc439316873"/>
      <w:bookmarkStart w:id="45" w:name="_Toc439316919"/>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1"/>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jc w:val="center"/>
              <w:rPr>
                <w:rFonts w:hint="default"/>
                <w:lang w:val="en-US" w:eastAsia="zh-CN"/>
              </w:rPr>
            </w:pPr>
            <w:r>
              <w:rPr>
                <w:rFonts w:hint="eastAsia" w:asciiTheme="minorEastAsia" w:hAnsiTheme="minorEastAsia" w:eastAsiaTheme="minorEastAsia"/>
                <w:sz w:val="24"/>
                <w:lang w:val="en-US" w:eastAsia="zh-CN"/>
              </w:rPr>
              <w:t>完成本项目全部内容并验收合格后一次性支付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3EC5ACC7">
            <w:pPr>
              <w:jc w:val="center"/>
              <w:rPr>
                <w:rFonts w:hint="default" w:asciiTheme="minorEastAsia" w:hAnsiTheme="minorEastAsia" w:eastAsiaTheme="minorEastAsia"/>
                <w:sz w:val="24"/>
                <w:lang w:val="en-US" w:eastAsia="zh-CN"/>
              </w:rPr>
            </w:pPr>
            <w:r>
              <w:rPr>
                <w:rFonts w:hint="default" w:asciiTheme="minorEastAsia" w:hAnsiTheme="minorEastAsia" w:eastAsiaTheme="minorEastAsia"/>
                <w:sz w:val="24"/>
                <w:lang w:val="en-US" w:eastAsia="zh-CN"/>
              </w:rPr>
              <w:t>合同签订后 30个工作日内，完成与学校正版化平台的无缝对接，并完成本次采购的所有软件镜像安装包部署，并自软件部署完成之日起提供1年的免费售后服务和技术支持</w:t>
            </w:r>
          </w:p>
          <w:p w14:paraId="0049E74A">
            <w:pPr>
              <w:jc w:val="center"/>
              <w:rPr>
                <w:rFonts w:hint="default" w:asciiTheme="minorEastAsia" w:hAnsiTheme="minorEastAsia" w:eastAsiaTheme="minorEastAsia"/>
                <w:sz w:val="24"/>
                <w:lang w:val="en-US" w:eastAsia="zh-CN"/>
              </w:rPr>
            </w:pP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二、服务内容</w:t>
      </w:r>
    </w:p>
    <w:tbl>
      <w:tblPr>
        <w:tblStyle w:val="40"/>
        <w:tblW w:w="11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333"/>
        <w:gridCol w:w="9369"/>
      </w:tblGrid>
      <w:tr w14:paraId="3ADE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jc w:val="center"/>
        </w:trPr>
        <w:tc>
          <w:tcPr>
            <w:tcW w:w="652" w:type="dxa"/>
          </w:tcPr>
          <w:p w14:paraId="3D619E11">
            <w:pPr>
              <w:jc w:val="center"/>
            </w:pPr>
            <w:r>
              <w:rPr>
                <w:rFonts w:hint="eastAsia"/>
              </w:rPr>
              <w:t>序号</w:t>
            </w:r>
          </w:p>
        </w:tc>
        <w:tc>
          <w:tcPr>
            <w:tcW w:w="1333" w:type="dxa"/>
          </w:tcPr>
          <w:p w14:paraId="64F9CFE9">
            <w:pPr>
              <w:jc w:val="center"/>
              <w:rPr>
                <w:rFonts w:hint="eastAsia" w:eastAsia="宋体"/>
                <w:lang w:eastAsia="zh-CN"/>
              </w:rPr>
            </w:pPr>
            <w:r>
              <w:rPr>
                <w:rFonts w:hint="eastAsia"/>
                <w:lang w:val="en-US" w:eastAsia="zh-CN"/>
              </w:rPr>
              <w:t>名称</w:t>
            </w:r>
          </w:p>
        </w:tc>
        <w:tc>
          <w:tcPr>
            <w:tcW w:w="9369" w:type="dxa"/>
          </w:tcPr>
          <w:p w14:paraId="5EAA0066">
            <w:pPr>
              <w:jc w:val="center"/>
            </w:pPr>
            <w:r>
              <w:rPr>
                <w:rFonts w:hint="eastAsia"/>
              </w:rPr>
              <w:t>标准</w:t>
            </w:r>
          </w:p>
        </w:tc>
      </w:tr>
      <w:tr w14:paraId="0B73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2" w:type="dxa"/>
            <w:vAlign w:val="center"/>
          </w:tcPr>
          <w:p w14:paraId="793DA238">
            <w:pPr>
              <w:ind w:firstLine="210" w:firstLineChars="100"/>
            </w:pPr>
            <w:r>
              <w:rPr>
                <w:rFonts w:hint="eastAsia"/>
              </w:rPr>
              <w:t>1</w:t>
            </w:r>
          </w:p>
        </w:tc>
        <w:tc>
          <w:tcPr>
            <w:tcW w:w="1333" w:type="dxa"/>
            <w:vAlign w:val="center"/>
          </w:tcPr>
          <w:p w14:paraId="4C853927">
            <w:pPr>
              <w:jc w:val="center"/>
            </w:pPr>
            <w:r>
              <w:rPr>
                <w:rFonts w:hint="eastAsia"/>
              </w:rPr>
              <w:t>桌面操作系统授权服务</w:t>
            </w:r>
          </w:p>
        </w:tc>
        <w:tc>
          <w:tcPr>
            <w:tcW w:w="9369" w:type="dxa"/>
          </w:tcPr>
          <w:p w14:paraId="2DEE5BEB">
            <w:r>
              <w:rPr>
                <w:rFonts w:hint="eastAsia"/>
              </w:rPr>
              <w:t>1、涵盖范围：本单位办公室、实验室等场所的所有计算机，包括职工电脑和笔记本；</w:t>
            </w:r>
          </w:p>
          <w:p w14:paraId="2C491C8A">
            <w:r>
              <w:rPr>
                <w:rFonts w:hint="eastAsia"/>
              </w:rPr>
              <w:t>2、授权方式：校园正版协议（Campus Agreement）（非OEM版）；</w:t>
            </w:r>
          </w:p>
          <w:p w14:paraId="0BD8AFA1">
            <w:r>
              <w:rPr>
                <w:rFonts w:hint="eastAsia"/>
              </w:rPr>
              <w:t>3、合约有效期内，软件如有升级版本，授权对升级版本同样有效。需支持当前常用版本的操作系统授权，并保持持续更新，更新所需费用包含在本次投标报价内；</w:t>
            </w:r>
          </w:p>
          <w:p w14:paraId="12D670A2">
            <w:r>
              <w:rPr>
                <w:rFonts w:hint="eastAsia"/>
              </w:rPr>
              <w:t>4、桌面操作系统要能够支持系统之间轻松传送，可以将原有低版本系统上的文件、文件夹、程序设置和系统设置从旧 PC 转移到新 PC；</w:t>
            </w:r>
          </w:p>
          <w:p w14:paraId="47ABB2B8">
            <w:r>
              <w:rPr>
                <w:rFonts w:hint="eastAsia"/>
              </w:rPr>
              <w:t>5、合约有效期1年，合约期间，新增计算机不再加收任何费用功能要求；</w:t>
            </w:r>
          </w:p>
          <w:p w14:paraId="20F41BB5">
            <w:r>
              <w:rPr>
                <w:rFonts w:hint="eastAsia"/>
              </w:rPr>
              <w:t>6、产品语言：至少包括简体中文和英文版本；</w:t>
            </w:r>
          </w:p>
          <w:p w14:paraId="4FD7A095">
            <w:r>
              <w:rPr>
                <w:rFonts w:hint="eastAsia"/>
              </w:rPr>
              <w:t>7、支持用户控制（Parental Controls）：可以指定能够使用的特定应用，并且能设置使用计算机的时间；</w:t>
            </w:r>
          </w:p>
          <w:p w14:paraId="1E3845F4">
            <w:r>
              <w:rPr>
                <w:rFonts w:hint="eastAsia"/>
              </w:rPr>
              <w:t>8、支持自适应性显示器亮度、支持用户帐户控制；</w:t>
            </w:r>
          </w:p>
          <w:p w14:paraId="6FE0629A">
            <w:r>
              <w:rPr>
                <w:rFonts w:hint="eastAsia"/>
              </w:rPr>
              <w:t>9、平台安全稳定。具有基本的安全功能（如内核修补程序保护、服务强化、数据执行保护、地址空间布局随机选择和强制完整性级别），并针对恶意软件和攻击提供增强的防护；</w:t>
            </w:r>
          </w:p>
          <w:p w14:paraId="0E339A4C">
            <w:r>
              <w:rPr>
                <w:rFonts w:hint="eastAsia"/>
              </w:rPr>
              <w:t>10、支持系统还原：系统还原点在备份中也可用，可以从一个更大的还原点列表中进行选择，并且覆盖很长一段时间；</w:t>
            </w:r>
          </w:p>
          <w:p w14:paraId="6CB2FBE5">
            <w:r>
              <w:rPr>
                <w:rFonts w:hint="eastAsia"/>
              </w:rPr>
              <w:t>11、支持操作系统疑难解答可以诊断并解决常见的操作系统和硬件问题，针对一些不同类型的问题提供内置的疑难解答程序；</w:t>
            </w:r>
          </w:p>
          <w:p w14:paraId="2976796D">
            <w:r>
              <w:rPr>
                <w:rFonts w:hint="eastAsia"/>
              </w:rPr>
              <w:t>12、支持自动化的启动修复工具来诊断和恢复无法启动的系统。如果遇到无法成功启动的情况，操作系统可自动加载启动修复，自主扫描 PC 中的问题（比如注册表损坏、系统文件丢失或启动配置数据无效），自动修复它们，并正常启动；</w:t>
            </w:r>
          </w:p>
          <w:p w14:paraId="411D208A">
            <w:r>
              <w:rPr>
                <w:rFonts w:hint="eastAsia"/>
              </w:rPr>
              <w:t>13、支持从其他电脑远程访问某台电脑上的文件和程序，能够进行脱机操作，自动将电脑和网络上的内容同步；</w:t>
            </w:r>
          </w:p>
          <w:p w14:paraId="15763516">
            <w:r>
              <w:rPr>
                <w:rFonts w:hint="eastAsia"/>
              </w:rPr>
              <w:t>14、支持智能输入和最近搜索。可以根据之前的搜索呈现输入建议，并动态过滤这些建议来帮助缩小结果；</w:t>
            </w:r>
          </w:p>
          <w:p w14:paraId="72DF567E">
            <w:r>
              <w:rPr>
                <w:rFonts w:hint="eastAsia"/>
              </w:rPr>
              <w:t>15、支持操作系统内置支持的本地全局搜索。搜索框中输入少许字母，可显示匹配的文档、图片、音乐、电子邮件和其他文件的列表，所有内容都排列在相应的类别下，可以直接在开始菜单中搜索控制面板任务，以便快速调整计算机设置；</w:t>
            </w:r>
          </w:p>
          <w:p w14:paraId="7D06273E">
            <w:r>
              <w:rPr>
                <w:rFonts w:hint="eastAsia"/>
              </w:rPr>
              <w:t>16、提供软件补丁更新和技术支持（包括电话支持和在线支持）；</w:t>
            </w:r>
          </w:p>
          <w:p w14:paraId="701C5EF2">
            <w:r>
              <w:rPr>
                <w:rFonts w:hint="eastAsia"/>
              </w:rPr>
              <w:t>17、合同签订前供应商须提供操作系统授权书。</w:t>
            </w:r>
          </w:p>
        </w:tc>
      </w:tr>
      <w:tr w14:paraId="6453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52" w:type="dxa"/>
            <w:vAlign w:val="center"/>
          </w:tcPr>
          <w:p w14:paraId="63426F18">
            <w:pPr>
              <w:ind w:firstLine="210" w:firstLineChars="100"/>
            </w:pPr>
            <w:r>
              <w:rPr>
                <w:rFonts w:hint="eastAsia"/>
              </w:rPr>
              <w:t>2</w:t>
            </w:r>
          </w:p>
        </w:tc>
        <w:tc>
          <w:tcPr>
            <w:tcW w:w="1333" w:type="dxa"/>
            <w:vAlign w:val="center"/>
          </w:tcPr>
          <w:p w14:paraId="5C01282E">
            <w:pPr>
              <w:jc w:val="center"/>
              <w:rPr>
                <w:rFonts w:hint="eastAsia"/>
              </w:rPr>
            </w:pPr>
            <w:r>
              <w:rPr>
                <w:rFonts w:hint="eastAsia"/>
              </w:rPr>
              <w:t>办公软件</w:t>
            </w:r>
          </w:p>
          <w:p w14:paraId="06ACE45B">
            <w:pPr>
              <w:jc w:val="center"/>
            </w:pPr>
            <w:r>
              <w:rPr>
                <w:rFonts w:hint="eastAsia"/>
              </w:rPr>
              <w:t>授权服务</w:t>
            </w:r>
          </w:p>
        </w:tc>
        <w:tc>
          <w:tcPr>
            <w:tcW w:w="9369" w:type="dxa"/>
          </w:tcPr>
          <w:p w14:paraId="31C13B78">
            <w:r>
              <w:rPr>
                <w:rFonts w:hint="eastAsia"/>
              </w:rPr>
              <w:t>1、涵盖范围：本单位办公室、实验室等场所的所有计算机，包括职工电脑和笔记本；</w:t>
            </w:r>
          </w:p>
          <w:p w14:paraId="5D133E36">
            <w:r>
              <w:rPr>
                <w:rFonts w:hint="eastAsia"/>
              </w:rPr>
              <w:t>2、合约有效期内，软件如有升级版本，授权对升级版本同样有效，需支持当前常用版本的办公软件套件授权，并保持更新；</w:t>
            </w:r>
          </w:p>
          <w:p w14:paraId="464692BB">
            <w:r>
              <w:rPr>
                <w:rFonts w:hint="eastAsia"/>
              </w:rPr>
              <w:t>3、合约有效期1年，合约期间，新增计算机需要使用该套产品不再加收任何费用；</w:t>
            </w:r>
          </w:p>
          <w:p w14:paraId="1C77E61B">
            <w:r>
              <w:rPr>
                <w:rFonts w:hint="eastAsia"/>
              </w:rPr>
              <w:t>4、授权方式：校园正版协议（Campus Agreement）（非OEM版），需要具备文本处理、表格制作和演示制作功能的办公软件；</w:t>
            </w:r>
          </w:p>
          <w:p w14:paraId="3EC348F0">
            <w:r>
              <w:rPr>
                <w:rFonts w:hint="eastAsia"/>
              </w:rPr>
              <w:t>5、产品能支持招标人使用的操作系统（包括Windows平台和Mac平台），支持中文和英文两种语言；</w:t>
            </w:r>
          </w:p>
          <w:p w14:paraId="64D202B1">
            <w:r>
              <w:rPr>
                <w:rFonts w:hint="eastAsia"/>
              </w:rPr>
              <w:t>6、必须包含以下组件：</w:t>
            </w:r>
          </w:p>
          <w:p w14:paraId="67BE2288">
            <w:r>
              <w:rPr>
                <w:rFonts w:hint="eastAsia"/>
              </w:rPr>
              <w:t>1）文字处理软件</w:t>
            </w:r>
          </w:p>
          <w:p w14:paraId="043F9A45">
            <w:r>
              <w:rPr>
                <w:rFonts w:hint="eastAsia"/>
              </w:rPr>
              <w:t>2）电子表格软件</w:t>
            </w:r>
          </w:p>
          <w:p w14:paraId="170DFAE6">
            <w:r>
              <w:rPr>
                <w:rFonts w:hint="eastAsia"/>
              </w:rPr>
              <w:t>3）电子文稿演示软件</w:t>
            </w:r>
          </w:p>
          <w:p w14:paraId="0E5EF504">
            <w:r>
              <w:rPr>
                <w:rFonts w:hint="eastAsia"/>
              </w:rPr>
              <w:t>4）电子邮件访问软件</w:t>
            </w:r>
          </w:p>
          <w:p w14:paraId="6BEA5B6A">
            <w:r>
              <w:rPr>
                <w:rFonts w:hint="eastAsia"/>
              </w:rPr>
              <w:t>5）电子笔记本软件</w:t>
            </w:r>
          </w:p>
          <w:p w14:paraId="18C1DDDB">
            <w:r>
              <w:rPr>
                <w:rFonts w:hint="eastAsia"/>
              </w:rPr>
              <w:t>提供以结果为导向的用户界面，让操作更为流畅、简洁；</w:t>
            </w:r>
          </w:p>
          <w:p w14:paraId="6068E735">
            <w:r>
              <w:rPr>
                <w:rFonts w:hint="eastAsia"/>
              </w:rPr>
              <w:t>1）“上下文选项卡”可智能感知用户操作，并可将所需命令全程记录；</w:t>
            </w:r>
          </w:p>
          <w:p w14:paraId="337AD57D">
            <w:r>
              <w:rPr>
                <w:rFonts w:hint="eastAsia"/>
              </w:rPr>
              <w:t>2）所有应用程序须包含智能标记功能；</w:t>
            </w:r>
          </w:p>
          <w:p w14:paraId="0A5CF235">
            <w:r>
              <w:rPr>
                <w:rFonts w:hint="eastAsia"/>
              </w:rPr>
              <w:t>3）须提供智能文档的操作；</w:t>
            </w:r>
          </w:p>
          <w:p w14:paraId="2AC48DE8">
            <w:r>
              <w:rPr>
                <w:rFonts w:hint="eastAsia"/>
              </w:rPr>
              <w:t>4）须提供智能图形的制作；</w:t>
            </w:r>
          </w:p>
          <w:p w14:paraId="5184CF07">
            <w:r>
              <w:rPr>
                <w:rFonts w:hint="eastAsia"/>
              </w:rPr>
              <w:t>5） 应用程序组件之间可以相互沟通；</w:t>
            </w:r>
          </w:p>
          <w:p w14:paraId="6F071FE6">
            <w:r>
              <w:rPr>
                <w:rFonts w:hint="eastAsia"/>
              </w:rPr>
              <w:t>7、包含12类不同应用领域的300多个函数；</w:t>
            </w:r>
          </w:p>
          <w:p w14:paraId="7F5FAB05">
            <w:r>
              <w:rPr>
                <w:rFonts w:hint="eastAsia"/>
              </w:rPr>
              <w:t>8、提供强大的数据分析和处理能力，包括筛选数据、分类汇总、规划求解、最优化方案统计；</w:t>
            </w:r>
          </w:p>
          <w:p w14:paraId="1430D163">
            <w:r>
              <w:rPr>
                <w:rFonts w:hint="eastAsia"/>
              </w:rPr>
              <w:t>9、提供专业化的数据分析工具库，如回归分析；</w:t>
            </w:r>
          </w:p>
          <w:p w14:paraId="2FDD6C1A">
            <w:r>
              <w:rPr>
                <w:rFonts w:hint="eastAsia"/>
              </w:rPr>
              <w:t>10、提供数据透视分析功能和切片器功能；</w:t>
            </w:r>
          </w:p>
          <w:p w14:paraId="5C88F091">
            <w:r>
              <w:rPr>
                <w:rFonts w:hint="eastAsia"/>
              </w:rPr>
              <w:t>11、提供数据分析的迷你图设计；</w:t>
            </w:r>
          </w:p>
          <w:p w14:paraId="0C81E3B0">
            <w:r>
              <w:rPr>
                <w:rFonts w:hint="eastAsia"/>
              </w:rPr>
              <w:t>12、提供增强的条件格式功能让数据展现更为精彩；</w:t>
            </w:r>
          </w:p>
          <w:p w14:paraId="6E0897D3">
            <w:r>
              <w:rPr>
                <w:rFonts w:hint="eastAsia"/>
              </w:rPr>
              <w:t>13、提供电子邮件组件作为个人信息管理系统，管理电子邮件、联系人信息、任务、个人日程安排、小组工作计划、日志等；</w:t>
            </w:r>
          </w:p>
          <w:p w14:paraId="7B0B869A">
            <w:r>
              <w:rPr>
                <w:rFonts w:hint="eastAsia"/>
              </w:rPr>
              <w:t>1</w:t>
            </w:r>
            <w:r>
              <w:rPr>
                <w:rFonts w:hint="eastAsia"/>
                <w:lang w:val="en-US" w:eastAsia="zh-CN"/>
              </w:rPr>
              <w:t>4</w:t>
            </w:r>
            <w:r>
              <w:rPr>
                <w:rFonts w:hint="eastAsia"/>
              </w:rPr>
              <w:t>、能够将网上的模板嵌入各种应用程序中，使用户可以在新建文档时，快速创建并使用；</w:t>
            </w:r>
          </w:p>
          <w:p w14:paraId="0437B3D7">
            <w:r>
              <w:rPr>
                <w:rFonts w:hint="eastAsia"/>
              </w:rPr>
              <w:t>1</w:t>
            </w:r>
            <w:r>
              <w:rPr>
                <w:rFonts w:hint="eastAsia"/>
                <w:lang w:val="en-US" w:eastAsia="zh-CN"/>
              </w:rPr>
              <w:t>5</w:t>
            </w:r>
            <w:r>
              <w:rPr>
                <w:rFonts w:hint="eastAsia"/>
              </w:rPr>
              <w:t>、采用基于Open XML的文件格式；</w:t>
            </w:r>
          </w:p>
          <w:p w14:paraId="21C30998">
            <w:r>
              <w:rPr>
                <w:rFonts w:hint="eastAsia"/>
              </w:rPr>
              <w:t>1</w:t>
            </w:r>
            <w:r>
              <w:rPr>
                <w:rFonts w:hint="eastAsia"/>
                <w:lang w:val="en-US" w:eastAsia="zh-CN"/>
              </w:rPr>
              <w:t>6</w:t>
            </w:r>
            <w:r>
              <w:rPr>
                <w:rFonts w:hint="eastAsia"/>
              </w:rPr>
              <w:t>、提供文字处理软件文档的分段保护功能，使得不同用户对文档的不同部分拥有不同的编辑权限；</w:t>
            </w:r>
          </w:p>
          <w:p w14:paraId="5253DF9D">
            <w:r>
              <w:rPr>
                <w:rFonts w:hint="eastAsia"/>
              </w:rPr>
              <w:t>1</w:t>
            </w:r>
            <w:r>
              <w:rPr>
                <w:rFonts w:hint="eastAsia"/>
                <w:lang w:val="en-US" w:eastAsia="zh-CN"/>
              </w:rPr>
              <w:t>7</w:t>
            </w:r>
            <w:r>
              <w:rPr>
                <w:rFonts w:hint="eastAsia"/>
              </w:rPr>
              <w:t>、提供文档密保机制；</w:t>
            </w:r>
          </w:p>
          <w:p w14:paraId="4F16AF0E">
            <w:r>
              <w:rPr>
                <w:rFonts w:hint="eastAsia"/>
                <w:lang w:val="en-US" w:eastAsia="zh-CN"/>
              </w:rPr>
              <w:t>18</w:t>
            </w:r>
            <w:r>
              <w:rPr>
                <w:rFonts w:hint="eastAsia"/>
              </w:rPr>
              <w:t>、能够与前端内容创建应用集成，包括（团队协作、门户技术、内容管理、业务流程和表格、企业搜索、商业智能和与第三方应用的连接性支持）；</w:t>
            </w:r>
          </w:p>
          <w:p w14:paraId="34468088">
            <w:r>
              <w:rPr>
                <w:rFonts w:hint="eastAsia"/>
                <w:lang w:val="en-US" w:eastAsia="zh-CN"/>
              </w:rPr>
              <w:t>19</w:t>
            </w:r>
            <w:r>
              <w:rPr>
                <w:rFonts w:hint="eastAsia"/>
              </w:rPr>
              <w:t>、提供丰富的扩展和开发能力；</w:t>
            </w:r>
          </w:p>
          <w:p w14:paraId="0FBDB016">
            <w:r>
              <w:rPr>
                <w:rFonts w:hint="eastAsia"/>
              </w:rPr>
              <w:t>如IT人员和高级用户可以通过VBA技术、XML技术、VS.net开发定制，使其更符合企业办公的特殊需求；</w:t>
            </w:r>
          </w:p>
          <w:p w14:paraId="7B18E4D3">
            <w:r>
              <w:rPr>
                <w:rFonts w:hint="eastAsia"/>
              </w:rPr>
              <w:t>2</w:t>
            </w:r>
            <w:r>
              <w:rPr>
                <w:rFonts w:hint="eastAsia"/>
                <w:lang w:val="en-US" w:eastAsia="zh-CN"/>
              </w:rPr>
              <w:t>0</w:t>
            </w:r>
            <w:r>
              <w:rPr>
                <w:rFonts w:hint="eastAsia"/>
              </w:rPr>
              <w:t>、支持手机、电脑、浏览器跨平台使用；</w:t>
            </w:r>
          </w:p>
          <w:p w14:paraId="050F72A2">
            <w:r>
              <w:rPr>
                <w:rFonts w:hint="eastAsia"/>
              </w:rPr>
              <w:t>2</w:t>
            </w:r>
            <w:r>
              <w:rPr>
                <w:rFonts w:hint="eastAsia"/>
                <w:lang w:val="en-US" w:eastAsia="zh-CN"/>
              </w:rPr>
              <w:t>1</w:t>
            </w:r>
            <w:r>
              <w:rPr>
                <w:rFonts w:hint="eastAsia"/>
              </w:rPr>
              <w:t>、提供软件补丁更新和技术支持（包括电话支持和在线支持）；</w:t>
            </w:r>
          </w:p>
          <w:p w14:paraId="3CAD6D9E">
            <w:r>
              <w:rPr>
                <w:rFonts w:hint="eastAsia"/>
              </w:rPr>
              <w:t>2</w:t>
            </w:r>
            <w:r>
              <w:rPr>
                <w:rFonts w:hint="eastAsia"/>
                <w:lang w:val="en-US" w:eastAsia="zh-CN"/>
              </w:rPr>
              <w:t>2</w:t>
            </w:r>
            <w:r>
              <w:rPr>
                <w:rFonts w:hint="eastAsia"/>
              </w:rPr>
              <w:t>、合同签订前供应商须提供办公软件授权书。</w:t>
            </w:r>
          </w:p>
        </w:tc>
      </w:tr>
      <w:tr w14:paraId="762F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652" w:type="dxa"/>
            <w:vAlign w:val="center"/>
          </w:tcPr>
          <w:p w14:paraId="65D1A144">
            <w:pPr>
              <w:ind w:firstLine="210" w:firstLineChars="100"/>
            </w:pPr>
            <w:r>
              <w:rPr>
                <w:rFonts w:hint="eastAsia"/>
              </w:rPr>
              <w:t>3</w:t>
            </w:r>
          </w:p>
        </w:tc>
        <w:tc>
          <w:tcPr>
            <w:tcW w:w="1333" w:type="dxa"/>
            <w:vAlign w:val="center"/>
          </w:tcPr>
          <w:p w14:paraId="2D8516B9">
            <w:pPr>
              <w:jc w:val="center"/>
              <w:rPr>
                <w:rFonts w:hint="eastAsia"/>
              </w:rPr>
            </w:pPr>
            <w:r>
              <w:rPr>
                <w:rFonts w:hint="eastAsia"/>
              </w:rPr>
              <w:t>服务器操作</w:t>
            </w:r>
          </w:p>
          <w:p w14:paraId="3624AA62">
            <w:pPr>
              <w:jc w:val="center"/>
            </w:pPr>
            <w:r>
              <w:rPr>
                <w:rFonts w:hint="eastAsia"/>
              </w:rPr>
              <w:t>系统服务</w:t>
            </w:r>
          </w:p>
        </w:tc>
        <w:tc>
          <w:tcPr>
            <w:tcW w:w="9369" w:type="dxa"/>
            <w:tcBorders>
              <w:top w:val="outset" w:color="000000" w:sz="6" w:space="0"/>
              <w:left w:val="outset" w:color="000000" w:sz="6" w:space="0"/>
              <w:bottom w:val="outset" w:color="000000" w:sz="6" w:space="0"/>
              <w:right w:val="outset" w:color="000000" w:sz="6" w:space="0"/>
            </w:tcBorders>
          </w:tcPr>
          <w:p w14:paraId="37A95508">
            <w:r>
              <w:rPr>
                <w:rFonts w:hint="eastAsia"/>
              </w:rPr>
              <w:t>服务器操作系统Windows Server标准版系列；100次激活，合约有效期1年。</w:t>
            </w:r>
          </w:p>
        </w:tc>
      </w:tr>
      <w:tr w14:paraId="45E5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6" w:hRule="atLeast"/>
          <w:jc w:val="center"/>
        </w:trPr>
        <w:tc>
          <w:tcPr>
            <w:tcW w:w="652" w:type="dxa"/>
            <w:vAlign w:val="center"/>
          </w:tcPr>
          <w:p w14:paraId="74089A40">
            <w:pPr>
              <w:ind w:firstLine="210" w:firstLineChars="100"/>
            </w:pPr>
            <w:r>
              <w:rPr>
                <w:rFonts w:hint="eastAsia"/>
              </w:rPr>
              <w:t>4</w:t>
            </w:r>
          </w:p>
        </w:tc>
        <w:tc>
          <w:tcPr>
            <w:tcW w:w="1333" w:type="dxa"/>
            <w:vAlign w:val="center"/>
          </w:tcPr>
          <w:p w14:paraId="6C857A73">
            <w:pPr>
              <w:jc w:val="center"/>
              <w:rPr>
                <w:rFonts w:hint="eastAsia"/>
              </w:rPr>
            </w:pPr>
            <w:r>
              <w:rPr>
                <w:rFonts w:hint="eastAsia"/>
              </w:rPr>
              <w:t>软件资源</w:t>
            </w:r>
          </w:p>
          <w:p w14:paraId="09128A35">
            <w:pPr>
              <w:jc w:val="center"/>
            </w:pPr>
            <w:r>
              <w:rPr>
                <w:rFonts w:hint="eastAsia"/>
              </w:rPr>
              <w:t>管理服务</w:t>
            </w:r>
          </w:p>
        </w:tc>
        <w:tc>
          <w:tcPr>
            <w:tcW w:w="9369" w:type="dxa"/>
            <w:tcBorders>
              <w:top w:val="outset" w:color="000000" w:sz="6" w:space="0"/>
              <w:left w:val="outset" w:color="000000" w:sz="6" w:space="0"/>
              <w:bottom w:val="outset" w:color="000000" w:sz="6" w:space="0"/>
              <w:right w:val="outset" w:color="000000" w:sz="6" w:space="0"/>
            </w:tcBorders>
          </w:tcPr>
          <w:p w14:paraId="71C215DD">
            <w:pPr>
              <w:rPr>
                <w:rFonts w:hint="eastAsia"/>
              </w:rPr>
            </w:pPr>
            <w:r>
              <w:rPr>
                <w:rFonts w:hint="eastAsia"/>
              </w:rPr>
              <w:t>1、与安徽省教育厅软件正版化检查平台做对接。（须提供相关截图证明材料）</w:t>
            </w:r>
          </w:p>
          <w:p w14:paraId="330290F4">
            <w:pPr>
              <w:rPr>
                <w:rFonts w:hint="eastAsia"/>
              </w:rPr>
            </w:pPr>
            <w:r>
              <w:rPr>
                <w:rFonts w:hint="eastAsia"/>
              </w:rPr>
              <w:t>2、平台管理后台提供数据可视化查询统计功能，能根据具体时间查询显示用户情况，软件下载，激活分配，软件激活，部门激活等相关数据。（须提供相关截图证明材料）</w:t>
            </w:r>
          </w:p>
          <w:p w14:paraId="39F8D3DE">
            <w:pPr>
              <w:rPr>
                <w:rFonts w:hint="eastAsia"/>
              </w:rPr>
            </w:pPr>
            <w:r>
              <w:rPr>
                <w:rFonts w:hint="eastAsia"/>
              </w:rPr>
              <w:t>3、激活客户端须提供软件检查功能，自行采集操作系统、办公软件等软件相关信息。满足简单易用需求，平台无需登录，可以通过招标人的统一门户直接一键启动激活客户端。</w:t>
            </w:r>
          </w:p>
          <w:p w14:paraId="22D89FB7">
            <w:pPr>
              <w:rPr>
                <w:rFonts w:hint="eastAsia"/>
              </w:rPr>
            </w:pPr>
            <w:r>
              <w:rPr>
                <w:rFonts w:hint="eastAsia"/>
              </w:rPr>
              <w:t>4、平台能对软件进行多版本控制管理，管理员可以在后台自由对软件版本进行管理控制。</w:t>
            </w:r>
          </w:p>
          <w:p w14:paraId="22409DF1">
            <w:pPr>
              <w:rPr>
                <w:rFonts w:hint="eastAsia"/>
              </w:rPr>
            </w:pPr>
            <w:r>
              <w:rPr>
                <w:rFonts w:hint="eastAsia"/>
                <w:lang w:val="en-US" w:eastAsia="zh-CN"/>
              </w:rPr>
              <w:t>5</w:t>
            </w:r>
            <w:r>
              <w:rPr>
                <w:rFonts w:hint="eastAsia"/>
              </w:rPr>
              <w:t>、软件管理与服务平台需要自带独立的用户管理系统，以便在软件管理与服务平台内可以实现独立设置用户在软件管理与服务平台中的使用权限，能支持在软件资源管理与服务平台内对用户信息进行编辑。</w:t>
            </w:r>
          </w:p>
          <w:p w14:paraId="4E63F3B5">
            <w:pPr>
              <w:rPr>
                <w:rFonts w:hint="eastAsia"/>
              </w:rPr>
            </w:pPr>
            <w:r>
              <w:rPr>
                <w:rFonts w:hint="eastAsia"/>
                <w:lang w:val="en-US" w:eastAsia="zh-CN"/>
              </w:rPr>
              <w:t>6</w:t>
            </w:r>
            <w:r>
              <w:rPr>
                <w:rFonts w:hint="eastAsia"/>
              </w:rPr>
              <w:t>、软件管理与服务平台需要支持多级部门管理，且每级部门可以单独设置管理员来管理本部门的下级部门和用户的权限和激活次数的分配。</w:t>
            </w:r>
          </w:p>
          <w:p w14:paraId="2AA20962">
            <w:pPr>
              <w:rPr>
                <w:rFonts w:hint="eastAsia"/>
              </w:rPr>
            </w:pPr>
            <w:r>
              <w:rPr>
                <w:rFonts w:hint="eastAsia"/>
                <w:lang w:val="en-US" w:eastAsia="zh-CN"/>
              </w:rPr>
              <w:t>7</w:t>
            </w:r>
            <w:r>
              <w:rPr>
                <w:rFonts w:hint="eastAsia"/>
              </w:rPr>
              <w:t>、用户激活次数的分配，软件管理与服务平台需要支持不同身份类型用户在注册的时候进行激活次数的自动分配；管理员可以通过后台对用户的激活次数手动进行分配；用户可以通过激活客户端方便地进行新的激活次数的申请。用户的激活次数申请，在后台管理员审核通过后正式下发。。</w:t>
            </w:r>
          </w:p>
          <w:p w14:paraId="7736B13A">
            <w:pPr>
              <w:rPr>
                <w:rFonts w:hint="eastAsia"/>
              </w:rPr>
            </w:pPr>
            <w:r>
              <w:rPr>
                <w:rFonts w:hint="eastAsia"/>
                <w:lang w:val="en-US" w:eastAsia="zh-CN"/>
              </w:rPr>
              <w:t>8</w:t>
            </w:r>
            <w:r>
              <w:rPr>
                <w:rFonts w:hint="eastAsia"/>
              </w:rPr>
              <w:t>、授权模式，用户的激活次数授权模式也应当符合多级部门管理的模式，即，本级部门的激活数量上限，是分配给下级部门及用户的激活次数的上限。</w:t>
            </w:r>
          </w:p>
          <w:p w14:paraId="52691387">
            <w:pPr>
              <w:rPr>
                <w:rFonts w:hint="eastAsia"/>
              </w:rPr>
            </w:pPr>
            <w:r>
              <w:rPr>
                <w:rFonts w:hint="eastAsia"/>
                <w:lang w:val="en-US" w:eastAsia="zh-CN"/>
              </w:rPr>
              <w:t>9</w:t>
            </w:r>
            <w:r>
              <w:rPr>
                <w:rFonts w:hint="eastAsia"/>
              </w:rPr>
              <w:t>、激活方式，在用户使用统一身份认证系统账号密码登录以后，直接通过点击即可完成整个激活操作，无需用户记忆任何其他激活码和代码，且一旦发生激活问题，激活客户端应当给出简单快捷的解决方案。</w:t>
            </w:r>
          </w:p>
          <w:p w14:paraId="1365A835">
            <w:pPr>
              <w:rPr>
                <w:rFonts w:hint="eastAsia"/>
              </w:rPr>
            </w:pPr>
            <w:r>
              <w:rPr>
                <w:rFonts w:hint="eastAsia"/>
              </w:rPr>
              <w:t>1</w:t>
            </w:r>
            <w:r>
              <w:rPr>
                <w:rFonts w:hint="eastAsia"/>
                <w:lang w:val="en-US" w:eastAsia="zh-CN"/>
              </w:rPr>
              <w:t>0</w:t>
            </w:r>
            <w:r>
              <w:rPr>
                <w:rFonts w:hint="eastAsia"/>
              </w:rPr>
              <w:t xml:space="preserve">、激活客户端应当是多功能的集成体，用户一次安装可拥有多种功能，激活客户端至少应当包括的功能有： </w:t>
            </w:r>
          </w:p>
          <w:p w14:paraId="73686695">
            <w:pPr>
              <w:rPr>
                <w:rFonts w:hint="eastAsia"/>
              </w:rPr>
            </w:pPr>
            <w:r>
              <w:rPr>
                <w:rFonts w:hint="eastAsia"/>
              </w:rPr>
              <w:t>1)正版软件的激活功能；</w:t>
            </w:r>
          </w:p>
          <w:p w14:paraId="31AFC016">
            <w:pPr>
              <w:rPr>
                <w:rFonts w:hint="eastAsia"/>
              </w:rPr>
            </w:pPr>
            <w:r>
              <w:rPr>
                <w:rFonts w:hint="eastAsia"/>
              </w:rPr>
              <w:t>2)系统自动更新功能；</w:t>
            </w:r>
          </w:p>
          <w:p w14:paraId="4C9F1ED3">
            <w:pPr>
              <w:rPr>
                <w:rFonts w:hint="eastAsia"/>
              </w:rPr>
            </w:pPr>
            <w:r>
              <w:rPr>
                <w:rFonts w:hint="eastAsia"/>
              </w:rPr>
              <w:t>3)驱动备份功能；</w:t>
            </w:r>
          </w:p>
          <w:p w14:paraId="1216E658">
            <w:pPr>
              <w:rPr>
                <w:rFonts w:hint="eastAsia"/>
              </w:rPr>
            </w:pPr>
            <w:r>
              <w:rPr>
                <w:rFonts w:hint="eastAsia"/>
              </w:rPr>
              <w:t>4)软件管理功能；</w:t>
            </w:r>
          </w:p>
          <w:p w14:paraId="1F31475C">
            <w:pPr>
              <w:rPr>
                <w:rFonts w:hint="eastAsia"/>
              </w:rPr>
            </w:pPr>
            <w:r>
              <w:rPr>
                <w:rFonts w:hint="eastAsia"/>
              </w:rPr>
              <w:t>（须提供相关截图证明材料）</w:t>
            </w:r>
          </w:p>
          <w:p w14:paraId="3D0E4437">
            <w:pPr>
              <w:rPr>
                <w:rFonts w:hint="eastAsia"/>
              </w:rPr>
            </w:pPr>
            <w:r>
              <w:rPr>
                <w:rFonts w:hint="eastAsia"/>
              </w:rPr>
              <w:t>1</w:t>
            </w:r>
            <w:r>
              <w:rPr>
                <w:rFonts w:hint="eastAsia"/>
                <w:lang w:val="en-US" w:eastAsia="zh-CN"/>
              </w:rPr>
              <w:t>1</w:t>
            </w:r>
            <w:r>
              <w:rPr>
                <w:rFonts w:hint="eastAsia"/>
              </w:rPr>
              <w:t>、激活客户端应当提供持续的升级服务，升级服务应当是在激活客户端检测到最新版本的时候自动完成。</w:t>
            </w:r>
          </w:p>
          <w:p w14:paraId="60EEF036">
            <w:pPr>
              <w:rPr>
                <w:rFonts w:hint="eastAsia"/>
              </w:rPr>
            </w:pPr>
            <w:r>
              <w:rPr>
                <w:rFonts w:hint="eastAsia"/>
              </w:rPr>
              <w:t>1</w:t>
            </w:r>
            <w:r>
              <w:rPr>
                <w:rFonts w:hint="eastAsia"/>
                <w:lang w:val="en-US" w:eastAsia="zh-CN"/>
              </w:rPr>
              <w:t>2</w:t>
            </w:r>
            <w:r>
              <w:rPr>
                <w:rFonts w:hint="eastAsia"/>
              </w:rPr>
              <w:t>、客户端应兼容Windows64位与32位操作系统，并能够实现绿色解压运行免安装。MAC系统需支持下载软件安装包进行安装。（须提供相关截图证明材料）</w:t>
            </w:r>
          </w:p>
          <w:p w14:paraId="30969DA3">
            <w:pPr>
              <w:rPr>
                <w:rFonts w:hint="eastAsia"/>
              </w:rPr>
            </w:pPr>
            <w:r>
              <w:rPr>
                <w:rFonts w:hint="eastAsia"/>
              </w:rPr>
              <w:t>1</w:t>
            </w:r>
            <w:r>
              <w:rPr>
                <w:rFonts w:hint="eastAsia"/>
                <w:lang w:val="en-US" w:eastAsia="zh-CN"/>
              </w:rPr>
              <w:t>3</w:t>
            </w:r>
            <w:r>
              <w:rPr>
                <w:rFonts w:hint="eastAsia"/>
              </w:rPr>
              <w:t>、软件管理与服务平台应当支持部署在招标人处，且支持私有云平台部署。</w:t>
            </w:r>
          </w:p>
          <w:p w14:paraId="60913E82">
            <w:pPr>
              <w:rPr>
                <w:rFonts w:hint="eastAsia"/>
              </w:rPr>
            </w:pPr>
            <w:r>
              <w:rPr>
                <w:rFonts w:hint="eastAsia"/>
              </w:rPr>
              <w:t>1</w:t>
            </w:r>
            <w:r>
              <w:rPr>
                <w:rFonts w:hint="eastAsia"/>
                <w:lang w:val="en-US" w:eastAsia="zh-CN"/>
              </w:rPr>
              <w:t>4</w:t>
            </w:r>
            <w:r>
              <w:rPr>
                <w:rFonts w:hint="eastAsia"/>
              </w:rPr>
              <w:t>、软件管理与服务平台应是基于B/S技术架构，为了降低维护成本和系统代码层的安全，编程语言应当使用C++、QT、PHP、NodeJs等主流编程语言。</w:t>
            </w:r>
          </w:p>
          <w:p w14:paraId="3ADBEAB4">
            <w:pPr>
              <w:rPr>
                <w:rFonts w:hint="eastAsia"/>
              </w:rPr>
            </w:pPr>
            <w:r>
              <w:rPr>
                <w:rFonts w:hint="eastAsia"/>
              </w:rPr>
              <w:t>整个激活过程，应当保证不泄露（包括秘钥在内）任何的涉密信息。</w:t>
            </w:r>
          </w:p>
          <w:p w14:paraId="607D6DF6">
            <w:pPr>
              <w:rPr>
                <w:rFonts w:hint="eastAsia"/>
              </w:rPr>
            </w:pPr>
            <w:r>
              <w:rPr>
                <w:rFonts w:hint="eastAsia"/>
              </w:rPr>
              <w:t>激活客户端应当保证无法被反编译，以避免因为激活客户端被反编译而导致的关键数据或参数的泄露。</w:t>
            </w:r>
          </w:p>
          <w:p w14:paraId="626C907F">
            <w:pPr>
              <w:rPr>
                <w:rFonts w:hint="eastAsia"/>
              </w:rPr>
            </w:pPr>
            <w:r>
              <w:rPr>
                <w:rFonts w:hint="eastAsia"/>
                <w:lang w:val="en-US" w:eastAsia="zh-CN"/>
              </w:rPr>
              <w:t>15</w:t>
            </w:r>
            <w:r>
              <w:rPr>
                <w:rFonts w:hint="eastAsia"/>
              </w:rPr>
              <w:t>、对正版化平台提供下载的软件应隐藏真实下载路径，并对下载次数进行限制。</w:t>
            </w:r>
          </w:p>
          <w:p w14:paraId="77001121">
            <w:pPr>
              <w:rPr>
                <w:rFonts w:hint="eastAsia"/>
              </w:rPr>
            </w:pPr>
            <w:r>
              <w:rPr>
                <w:rFonts w:hint="eastAsia"/>
                <w:lang w:val="en-US" w:eastAsia="zh-CN"/>
              </w:rPr>
              <w:t>16</w:t>
            </w:r>
            <w:r>
              <w:rPr>
                <w:rFonts w:hint="eastAsia"/>
              </w:rPr>
              <w:t>、软件管理与服务平台应当对用户的下载、激活、注册、激活次数分配等数据进行实时的记录，并且按照精细时间、软件及软件类型、用户身份类型及部门、激活状态等元素进行多维度的使用统计。</w:t>
            </w:r>
          </w:p>
          <w:p w14:paraId="6243C3C3">
            <w:pPr>
              <w:rPr>
                <w:rFonts w:hint="eastAsia"/>
              </w:rPr>
            </w:pPr>
            <w:r>
              <w:rPr>
                <w:rFonts w:hint="eastAsia"/>
                <w:lang w:val="en-US" w:eastAsia="zh-CN"/>
              </w:rPr>
              <w:t>17</w:t>
            </w:r>
            <w:r>
              <w:rPr>
                <w:rFonts w:hint="eastAsia"/>
              </w:rPr>
              <w:t>、软件管理与服务平台的系统网站（包括管理后台），应当兼容不同的浏览器，并且可以根据招标人的需求进行定制。</w:t>
            </w:r>
          </w:p>
          <w:p w14:paraId="77BB4E59">
            <w:pPr>
              <w:rPr>
                <w:rFonts w:hint="eastAsia"/>
              </w:rPr>
            </w:pPr>
            <w:r>
              <w:rPr>
                <w:rFonts w:hint="eastAsia"/>
                <w:lang w:val="en-US" w:eastAsia="zh-CN"/>
              </w:rPr>
              <w:t>18</w:t>
            </w:r>
            <w:r>
              <w:rPr>
                <w:rFonts w:hint="eastAsia"/>
              </w:rPr>
              <w:t>、数据的存储和传输，软件管理与服务平台的关键数据必须进行加密存储和传输，以避免数据在存储和传输的过程中可能产生的安全隐患。</w:t>
            </w:r>
          </w:p>
          <w:p w14:paraId="444A98AC">
            <w:pPr>
              <w:rPr>
                <w:rFonts w:hint="eastAsia"/>
              </w:rPr>
            </w:pPr>
            <w:r>
              <w:rPr>
                <w:rFonts w:hint="eastAsia"/>
                <w:lang w:val="en-US" w:eastAsia="zh-CN"/>
              </w:rPr>
              <w:t>19</w:t>
            </w:r>
            <w:r>
              <w:rPr>
                <w:rFonts w:hint="eastAsia"/>
              </w:rPr>
              <w:t>、软件管理与服务平台提供商，应当提供完备的软件管理与服务平台数据（包括软件和镜像、数据资料、日志）等在内的数据备份策略和故障恢复策略。在可能的情况下，软件管理与服务平台提供商需要进行服务器负载均衡和主从服务器的部署。</w:t>
            </w:r>
          </w:p>
          <w:p w14:paraId="19104E8C">
            <w:pPr>
              <w:rPr>
                <w:rFonts w:hint="eastAsia"/>
              </w:rPr>
            </w:pPr>
            <w:r>
              <w:rPr>
                <w:rFonts w:hint="eastAsia"/>
                <w:lang w:val="en-US" w:eastAsia="zh-CN"/>
              </w:rPr>
              <w:t>20</w:t>
            </w:r>
            <w:r>
              <w:rPr>
                <w:rFonts w:hint="eastAsia"/>
              </w:rPr>
              <w:t>、软件管理与服务平台需要支持不少于100人的并发访问和下载。</w:t>
            </w:r>
          </w:p>
          <w:p w14:paraId="4DBFA399">
            <w:pPr>
              <w:rPr>
                <w:rFonts w:hint="eastAsia"/>
              </w:rPr>
            </w:pPr>
            <w:r>
              <w:rPr>
                <w:rFonts w:hint="eastAsia"/>
                <w:lang w:val="en-US" w:eastAsia="zh-CN"/>
              </w:rPr>
              <w:t>21</w:t>
            </w:r>
            <w:r>
              <w:rPr>
                <w:rFonts w:hint="eastAsia"/>
              </w:rPr>
              <w:t>、软件管理与服务平台网站支持新增、编辑、删除常见问题、帮助文档、学习资源（包括文档资源和视频资源）、通知公告等内容。</w:t>
            </w:r>
          </w:p>
          <w:p w14:paraId="2E93892D">
            <w:r>
              <w:rPr>
                <w:rFonts w:hint="eastAsia"/>
                <w:lang w:val="en-US" w:eastAsia="zh-CN"/>
              </w:rPr>
              <w:t>22</w:t>
            </w:r>
            <w:r>
              <w:rPr>
                <w:rFonts w:hint="eastAsia"/>
              </w:rPr>
              <w:t>、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w:t>
            </w:r>
          </w:p>
        </w:tc>
      </w:tr>
    </w:tbl>
    <w:p w14:paraId="0417F07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p>
    <w:p w14:paraId="6C1EF7CF">
      <w:pPr>
        <w:pStyle w:val="49"/>
        <w:numPr>
          <w:ilvl w:val="0"/>
          <w:numId w:val="0"/>
        </w:numPr>
        <w:ind w:firstLine="482" w:firstLineChars="200"/>
        <w:rPr>
          <w:rFonts w:hint="default"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三、其它要求</w:t>
      </w:r>
    </w:p>
    <w:p w14:paraId="666EB83E">
      <w:pPr>
        <w:ind w:firstLine="420" w:firstLineChars="200"/>
      </w:pPr>
      <w:r>
        <w:rPr>
          <w:rFonts w:hint="eastAsia"/>
          <w:color w:val="000000" w:themeColor="text1"/>
          <w:lang w:val="en-US" w:eastAsia="zh-CN"/>
          <w14:textFill>
            <w14:solidFill>
              <w14:schemeClr w14:val="tx1"/>
            </w14:solidFill>
          </w14:textFill>
        </w:rPr>
        <w:t>1.</w:t>
      </w:r>
      <w:r>
        <w:rPr>
          <w:rFonts w:hint="eastAsia"/>
        </w:rPr>
        <w:t>提供正版软件管理运营平台</w:t>
      </w:r>
    </w:p>
    <w:p w14:paraId="409F0AE6">
      <w:pPr>
        <w:ind w:firstLine="420" w:firstLineChars="200"/>
      </w:pPr>
      <w:r>
        <w:rPr>
          <w:rFonts w:hint="eastAsia"/>
        </w:rPr>
        <w:t>在协议期内，提供正版软件管理运营平台一套，平台可供正版操作系统(桌面系统) 软件、办公软件套件、授权管理，用户管理，报表统计等功能；</w:t>
      </w:r>
    </w:p>
    <w:p w14:paraId="3071F45E">
      <w:pPr>
        <w:ind w:firstLine="420" w:firstLineChars="200"/>
      </w:pPr>
      <w:r>
        <w:rPr>
          <w:rFonts w:hint="eastAsia"/>
          <w:lang w:val="en-US" w:eastAsia="zh-CN"/>
        </w:rPr>
        <w:t>2</w:t>
      </w:r>
      <w:r>
        <w:rPr>
          <w:rFonts w:hint="eastAsia"/>
          <w:lang w:eastAsia="zh-CN"/>
        </w:rPr>
        <w:t>.</w:t>
      </w:r>
      <w:r>
        <w:rPr>
          <w:rFonts w:hint="eastAsia"/>
        </w:rPr>
        <w:t>协议期内，平台免费升级</w:t>
      </w:r>
    </w:p>
    <w:p w14:paraId="1EB899AF">
      <w:pPr>
        <w:ind w:firstLine="420" w:firstLineChars="200"/>
      </w:pPr>
      <w:r>
        <w:rPr>
          <w:rFonts w:hint="eastAsia"/>
        </w:rPr>
        <w:t>在协议期内，平台提供免费升级、依据产品及相关功能、补丁、安全更新的生命周期，增加或调整平台功能。</w:t>
      </w:r>
    </w:p>
    <w:p w14:paraId="2AEC98C1">
      <w:pPr>
        <w:ind w:firstLine="420" w:firstLineChars="200"/>
      </w:pPr>
      <w:r>
        <w:rPr>
          <w:rFonts w:hint="eastAsia"/>
          <w:lang w:val="en-US" w:eastAsia="zh-CN"/>
        </w:rPr>
        <w:t>3</w:t>
      </w:r>
      <w:r>
        <w:rPr>
          <w:rFonts w:hint="eastAsia"/>
          <w:lang w:eastAsia="zh-CN"/>
        </w:rPr>
        <w:t>.</w:t>
      </w:r>
      <w:r>
        <w:rPr>
          <w:rFonts w:hint="eastAsia"/>
        </w:rPr>
        <w:t>培训</w:t>
      </w:r>
    </w:p>
    <w:p w14:paraId="51ACF735">
      <w:pPr>
        <w:ind w:firstLine="420" w:firstLineChars="200"/>
        <w:rPr>
          <w:rFonts w:hint="eastAsia" w:eastAsia="宋体"/>
          <w:lang w:val="en-US" w:eastAsia="zh-CN"/>
        </w:rPr>
      </w:pPr>
      <w:r>
        <w:rPr>
          <w:rFonts w:hint="eastAsia"/>
        </w:rPr>
        <w:t>对管理员提供针对于平台的全方位培训；对最终用户提供技术支持和使用培训。提供平台相关的技术资料文档。并在协议期内可以提供</w:t>
      </w:r>
      <w:r>
        <w:rPr>
          <w:rFonts w:hint="eastAsia"/>
          <w:lang w:val="en-US" w:eastAsia="zh-CN"/>
        </w:rPr>
        <w:t>1</w:t>
      </w:r>
      <w:r>
        <w:rPr>
          <w:rFonts w:hint="eastAsia"/>
        </w:rPr>
        <w:t>次</w:t>
      </w:r>
      <w:r>
        <w:rPr>
          <w:rFonts w:hint="eastAsia"/>
          <w:lang w:val="en-US" w:eastAsia="zh-CN"/>
        </w:rPr>
        <w:t>培训。</w:t>
      </w:r>
    </w:p>
    <w:p w14:paraId="739496F3">
      <w:pPr>
        <w:ind w:firstLine="420" w:firstLineChars="200"/>
      </w:pPr>
      <w:r>
        <w:rPr>
          <w:rFonts w:hint="eastAsia"/>
          <w:lang w:val="en-US" w:eastAsia="zh-CN"/>
        </w:rPr>
        <w:t>4</w:t>
      </w:r>
      <w:r>
        <w:rPr>
          <w:rFonts w:hint="eastAsia"/>
          <w:lang w:eastAsia="zh-CN"/>
        </w:rPr>
        <w:t>.</w:t>
      </w:r>
      <w:r>
        <w:rPr>
          <w:rFonts w:hint="eastAsia"/>
        </w:rPr>
        <w:t>技术支持</w:t>
      </w:r>
    </w:p>
    <w:p w14:paraId="266FDB4B">
      <w:pPr>
        <w:ind w:firstLine="420" w:firstLineChars="200"/>
      </w:pPr>
      <w:r>
        <w:rPr>
          <w:rFonts w:hint="eastAsia"/>
        </w:rPr>
        <w:t>24小时响应制度：提供24小时故障影响并处理，尤其是重大疑难故障的技术支持服务；提供5*8小时电话和邮件的远程技术支持。</w:t>
      </w:r>
    </w:p>
    <w:p w14:paraId="2C3C9F31">
      <w:pPr>
        <w:ind w:firstLine="420" w:firstLineChars="200"/>
      </w:pPr>
      <w:r>
        <w:rPr>
          <w:rFonts w:hint="eastAsia"/>
          <w:lang w:val="en-US" w:eastAsia="zh-CN"/>
        </w:rPr>
        <w:t>5</w:t>
      </w:r>
      <w:r>
        <w:rPr>
          <w:rFonts w:hint="eastAsia"/>
          <w:lang w:eastAsia="zh-CN"/>
        </w:rPr>
        <w:t>.</w:t>
      </w:r>
      <w:r>
        <w:rPr>
          <w:rFonts w:hint="eastAsia"/>
        </w:rPr>
        <w:t>合同履行期限</w:t>
      </w:r>
    </w:p>
    <w:p w14:paraId="2CB3F790">
      <w:pPr>
        <w:ind w:firstLine="420" w:firstLineChars="200"/>
      </w:pPr>
      <w:r>
        <w:rPr>
          <w:rFonts w:hint="eastAsia"/>
        </w:rPr>
        <w:t>合同签订后 30个工作日内，完成与学校正版化平台的无缝对接，并完成本次采购的所有软件镜像安装包部署，并自软件部署完成之日起提供采购需求要求的免费质保期内的售后服务和技术支持。投标文件中需提供承诺书，否则投标无效。</w:t>
      </w:r>
    </w:p>
    <w:p w14:paraId="0F2D2436">
      <w:pPr>
        <w:ind w:firstLine="420" w:firstLineChars="200"/>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lang w:val="en-US" w:eastAsia="zh-CN"/>
        </w:rPr>
        <w:t>功能测试</w:t>
      </w:r>
    </w:p>
    <w:p w14:paraId="51D2D760">
      <w:pPr>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中标方需在中标后7个工作日内在我校进行软件功能测试，实际环境中部署和评测，必须满足技术性能参数要求凭我校测试通过的报告来签订合同。如因测试未通过，且超过5个工作日仍无法解决的，我校可拒绝签订合同，按照招标采购相关规定处理。测试报告及相关备忘文档的格式和内容由投标方提供模版，双方过论确定。</w:t>
      </w:r>
    </w:p>
    <w:p w14:paraId="58F86E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544EC2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B88B3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49" w:name="_Toc54941341"/>
      <w:bookmarkStart w:id="50" w:name="_Toc439316880"/>
      <w:bookmarkStart w:id="51" w:name="_Toc8981"/>
      <w:bookmarkStart w:id="52" w:name="_Toc1812"/>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431"/>
      <w:bookmarkStart w:id="54" w:name="_Toc27586"/>
      <w:bookmarkStart w:id="55" w:name="_Toc28300"/>
      <w:bookmarkStart w:id="56" w:name="_Toc3977"/>
      <w:bookmarkStart w:id="57" w:name="_Toc7241"/>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5"/>
        <w:rPr>
          <w:rFonts w:hint="eastAsia" w:ascii="宋体" w:hAnsi="宋体" w:eastAsia="宋体" w:cs="宋体"/>
          <w:b/>
          <w:bCs/>
          <w:spacing w:val="-20"/>
          <w:kern w:val="44"/>
          <w:sz w:val="24"/>
          <w:szCs w:val="24"/>
          <w:highlight w:val="none"/>
        </w:rPr>
      </w:pPr>
    </w:p>
    <w:p w14:paraId="307D03F5">
      <w:pPr>
        <w:pStyle w:val="15"/>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2232"/>
      <w:bookmarkStart w:id="59" w:name="_Toc24059"/>
      <w:bookmarkStart w:id="60" w:name="_Toc302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6311"/>
      <w:bookmarkStart w:id="62" w:name="_Toc22185"/>
      <w:bookmarkStart w:id="63" w:name="_Toc2918"/>
      <w:bookmarkStart w:id="64" w:name="_Toc18585"/>
      <w:bookmarkStart w:id="65" w:name="_Toc6773"/>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6" w:name="_Toc21631"/>
      <w:bookmarkStart w:id="67" w:name="_Toc21551"/>
      <w:bookmarkStart w:id="68" w:name="_Toc23292"/>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6"/>
      <w:bookmarkEnd w:id="67"/>
      <w:bookmarkEnd w:id="68"/>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69" w:name="_Toc1814"/>
      <w:bookmarkStart w:id="70" w:name="_Toc10340"/>
      <w:bookmarkStart w:id="71" w:name="_Toc22618"/>
      <w:r>
        <w:rPr>
          <w:rFonts w:ascii="宋体" w:hAnsi="宋体" w:eastAsia="宋体"/>
          <w:b/>
          <w:bCs/>
          <w:sz w:val="24"/>
          <w:highlight w:val="none"/>
          <w:lang w:val="zh-CN"/>
        </w:rPr>
        <w:t>4 付款方式和发票开具方式</w:t>
      </w:r>
      <w:bookmarkEnd w:id="69"/>
      <w:bookmarkEnd w:id="70"/>
      <w:bookmarkEnd w:id="71"/>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2" w:name="_Toc19304"/>
      <w:bookmarkStart w:id="73" w:name="_Toc2846"/>
      <w:bookmarkStart w:id="74" w:name="_Toc32071"/>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2"/>
      <w:bookmarkEnd w:id="73"/>
      <w:bookmarkEnd w:id="74"/>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5" w:name="_Toc27250"/>
      <w:bookmarkStart w:id="76" w:name="_Toc19554"/>
      <w:bookmarkStart w:id="77" w:name="_Toc21423"/>
      <w:r>
        <w:rPr>
          <w:rFonts w:hint="eastAsia" w:ascii="宋体" w:hAnsi="宋体" w:eastAsia="宋体"/>
          <w:b/>
          <w:bCs/>
          <w:sz w:val="24"/>
          <w:highlight w:val="none"/>
          <w:lang w:val="zh-CN"/>
        </w:rPr>
        <w:t>6 违约责任</w:t>
      </w:r>
      <w:bookmarkEnd w:id="75"/>
      <w:bookmarkEnd w:id="76"/>
      <w:bookmarkEnd w:id="77"/>
    </w:p>
    <w:p w14:paraId="4AA07172">
      <w:pPr>
        <w:spacing w:line="360" w:lineRule="auto"/>
        <w:ind w:firstLine="435"/>
        <w:rPr>
          <w:rFonts w:ascii="宋体" w:hAnsi="宋体" w:eastAsia="宋体"/>
          <w:sz w:val="24"/>
          <w:highlight w:val="none"/>
        </w:rPr>
      </w:pPr>
      <w:bookmarkStart w:id="78" w:name="_Toc28375"/>
      <w:bookmarkStart w:id="79" w:name="_Toc15583"/>
      <w:bookmarkStart w:id="80" w:name="_Toc16021"/>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78"/>
      <w:bookmarkEnd w:id="79"/>
      <w:bookmarkEnd w:id="80"/>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5"/>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49"/>
    <w:bookmarkEnd w:id="50"/>
    <w:bookmarkEnd w:id="51"/>
    <w:bookmarkEnd w:id="52"/>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1" w:name="_Toc417656001"/>
      <w:r>
        <w:rPr>
          <w:rFonts w:hint="eastAsia" w:ascii="Arial" w:hAnsi="Arial"/>
          <w:color w:val="auto"/>
          <w:kern w:val="2"/>
          <w:sz w:val="36"/>
          <w:szCs w:val="36"/>
          <w:highlight w:val="none"/>
        </w:rPr>
        <w:t>响应文件格式</w:t>
      </w:r>
      <w:bookmarkEnd w:id="81"/>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2" w:name="_Toc461053086"/>
      <w:bookmarkStart w:id="83" w:name="_Toc461056631"/>
      <w:bookmarkStart w:id="84" w:name="_Toc520983587"/>
      <w:bookmarkStart w:id="85" w:name="_Toc5881"/>
      <w:bookmarkStart w:id="86" w:name="_Toc26791"/>
      <w:r>
        <w:rPr>
          <w:rFonts w:hint="eastAsia" w:asciiTheme="minorEastAsia" w:hAnsiTheme="minorEastAsia" w:eastAsiaTheme="minorEastAsia"/>
          <w:b/>
          <w:color w:val="auto"/>
          <w:sz w:val="24"/>
          <w:highlight w:val="none"/>
        </w:rPr>
        <w:t>一</w:t>
      </w:r>
      <w:bookmarkEnd w:id="82"/>
      <w:bookmarkEnd w:id="83"/>
      <w:r>
        <w:rPr>
          <w:rFonts w:hint="eastAsia" w:asciiTheme="minorEastAsia" w:hAnsiTheme="minorEastAsia" w:eastAsiaTheme="minorEastAsia"/>
          <w:b/>
          <w:color w:val="auto"/>
          <w:sz w:val="24"/>
          <w:highlight w:val="none"/>
        </w:rPr>
        <w:t>、报价表格式</w:t>
      </w:r>
      <w:bookmarkEnd w:id="84"/>
      <w:bookmarkEnd w:id="85"/>
      <w:bookmarkEnd w:id="86"/>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7A508B9C">
      <w:pPr>
        <w:rPr>
          <w:color w:val="auto"/>
          <w:highlight w:val="none"/>
        </w:rPr>
      </w:pPr>
      <w:r>
        <w:rPr>
          <w:rFonts w:hint="eastAsia" w:hAnsi="宋体" w:cs="宋体"/>
          <w:color w:val="auto"/>
          <w:sz w:val="28"/>
          <w:szCs w:val="28"/>
          <w:highlight w:val="none"/>
          <w:lang w:val="en-US" w:eastAsia="zh-CN"/>
        </w:rPr>
        <w:t>2-2</w:t>
      </w:r>
      <w:r>
        <w:rPr>
          <w:rFonts w:hint="eastAsia" w:hAnsi="宋体" w:cs="宋体"/>
          <w:color w:val="auto"/>
          <w:sz w:val="28"/>
          <w:szCs w:val="28"/>
          <w:highlight w:val="none"/>
          <w:lang w:eastAsia="zh-CN"/>
        </w:rPr>
        <w:t>分项报价明细表</w:t>
      </w:r>
      <w:r>
        <w:rPr>
          <w:rFonts w:hint="eastAsia" w:hAnsi="宋体" w:cs="宋体"/>
          <w:color w:val="auto"/>
          <w:sz w:val="28"/>
          <w:szCs w:val="28"/>
          <w:highlight w:val="none"/>
        </w:rPr>
        <w:t>：</w:t>
      </w:r>
    </w:p>
    <w:tbl>
      <w:tblPr>
        <w:tblStyle w:val="40"/>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028"/>
        <w:gridCol w:w="920"/>
        <w:gridCol w:w="1134"/>
        <w:gridCol w:w="1653"/>
        <w:gridCol w:w="1558"/>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1043" w:type="dxa"/>
            <w:vAlign w:val="center"/>
          </w:tcPr>
          <w:p w14:paraId="1B6D3C0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3028"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名称</w:t>
            </w:r>
          </w:p>
        </w:tc>
        <w:tc>
          <w:tcPr>
            <w:tcW w:w="920"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134"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653"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58"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合价（元）</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1</w:t>
            </w:r>
          </w:p>
        </w:tc>
        <w:tc>
          <w:tcPr>
            <w:tcW w:w="3028"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r>
              <w:rPr>
                <w:rFonts w:hint="eastAsia"/>
              </w:rPr>
              <w:t>桌面操作系统授权服务</w:t>
            </w:r>
          </w:p>
        </w:tc>
        <w:tc>
          <w:tcPr>
            <w:tcW w:w="920" w:type="dxa"/>
            <w:vAlign w:val="center"/>
          </w:tcPr>
          <w:p w14:paraId="2FFA8743">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w:t>
            </w:r>
          </w:p>
        </w:tc>
        <w:tc>
          <w:tcPr>
            <w:tcW w:w="1134"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653" w:type="dxa"/>
            <w:vAlign w:val="center"/>
          </w:tcPr>
          <w:p w14:paraId="473ADD21">
            <w:pPr>
              <w:spacing w:line="360" w:lineRule="auto"/>
              <w:jc w:val="center"/>
              <w:rPr>
                <w:rFonts w:ascii="宋体" w:hAnsi="宋体" w:cs="宋体"/>
                <w:color w:val="auto"/>
                <w:sz w:val="24"/>
                <w:szCs w:val="24"/>
                <w:highlight w:val="none"/>
              </w:rPr>
            </w:pPr>
          </w:p>
        </w:tc>
        <w:tc>
          <w:tcPr>
            <w:tcW w:w="1558"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F468277">
            <w:pPr>
              <w:spacing w:line="360" w:lineRule="auto"/>
              <w:jc w:val="center"/>
              <w:rPr>
                <w:rFonts w:hint="default" w:ascii="宋体" w:hAnsi="宋体" w:eastAsia="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2</w:t>
            </w:r>
          </w:p>
        </w:tc>
        <w:tc>
          <w:tcPr>
            <w:tcW w:w="3028"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7D4B2F90">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3210A503">
            <w:pPr>
              <w:spacing w:line="360" w:lineRule="auto"/>
              <w:jc w:val="center"/>
              <w:rPr>
                <w:rFonts w:ascii="宋体" w:hAnsi="宋体" w:cs="宋体"/>
                <w:color w:val="auto"/>
                <w:sz w:val="24"/>
                <w:szCs w:val="24"/>
                <w:highlight w:val="none"/>
              </w:rPr>
            </w:pPr>
          </w:p>
        </w:tc>
        <w:tc>
          <w:tcPr>
            <w:tcW w:w="1558"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8B38114">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3</w:t>
            </w:r>
          </w:p>
        </w:tc>
        <w:tc>
          <w:tcPr>
            <w:tcW w:w="3028"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04EEF253">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7F50E29E">
            <w:pPr>
              <w:spacing w:line="360" w:lineRule="auto"/>
              <w:jc w:val="center"/>
              <w:rPr>
                <w:rFonts w:ascii="宋体" w:hAnsi="宋体" w:cs="宋体"/>
                <w:color w:val="auto"/>
                <w:sz w:val="24"/>
                <w:szCs w:val="24"/>
                <w:highlight w:val="none"/>
              </w:rPr>
            </w:pPr>
          </w:p>
        </w:tc>
        <w:tc>
          <w:tcPr>
            <w:tcW w:w="1558"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75D09CC8">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4</w:t>
            </w:r>
          </w:p>
        </w:tc>
        <w:tc>
          <w:tcPr>
            <w:tcW w:w="3028"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139B7227">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72B185A9">
            <w:pPr>
              <w:spacing w:line="360" w:lineRule="auto"/>
              <w:jc w:val="center"/>
              <w:rPr>
                <w:rFonts w:ascii="宋体" w:hAnsi="宋体" w:cs="宋体"/>
                <w:color w:val="auto"/>
                <w:sz w:val="24"/>
                <w:szCs w:val="24"/>
                <w:highlight w:val="none"/>
              </w:rPr>
            </w:pPr>
          </w:p>
        </w:tc>
        <w:tc>
          <w:tcPr>
            <w:tcW w:w="1558"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1851D15B">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w:t>
            </w:r>
          </w:p>
        </w:tc>
        <w:tc>
          <w:tcPr>
            <w:tcW w:w="3028"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920" w:type="dxa"/>
            <w:vAlign w:val="center"/>
          </w:tcPr>
          <w:p w14:paraId="213092E4">
            <w:pPr>
              <w:spacing w:line="360" w:lineRule="auto"/>
              <w:jc w:val="center"/>
              <w:rPr>
                <w:rFonts w:hint="eastAsia" w:ascii="宋体" w:hAnsi="宋体" w:eastAsia="宋体" w:cs="宋体"/>
                <w:color w:val="auto"/>
                <w:sz w:val="24"/>
                <w:szCs w:val="24"/>
                <w:highlight w:val="none"/>
                <w:lang w:val="en-US" w:eastAsia="zh-CN"/>
              </w:rPr>
            </w:pPr>
          </w:p>
        </w:tc>
        <w:tc>
          <w:tcPr>
            <w:tcW w:w="1134"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653" w:type="dxa"/>
            <w:vAlign w:val="center"/>
          </w:tcPr>
          <w:p w14:paraId="0497A9D8">
            <w:pPr>
              <w:spacing w:line="360" w:lineRule="auto"/>
              <w:jc w:val="center"/>
              <w:rPr>
                <w:rFonts w:ascii="宋体" w:hAnsi="宋体" w:cs="宋体"/>
                <w:color w:val="auto"/>
                <w:sz w:val="24"/>
                <w:szCs w:val="24"/>
                <w:highlight w:val="none"/>
              </w:rPr>
            </w:pPr>
          </w:p>
        </w:tc>
        <w:tc>
          <w:tcPr>
            <w:tcW w:w="1558" w:type="dxa"/>
            <w:vAlign w:val="center"/>
          </w:tcPr>
          <w:p w14:paraId="3F311D8A">
            <w:pPr>
              <w:spacing w:line="360" w:lineRule="auto"/>
              <w:jc w:val="center"/>
              <w:rPr>
                <w:rFonts w:ascii="宋体" w:hAnsi="宋体" w:cs="宋体"/>
                <w:color w:val="auto"/>
                <w:sz w:val="24"/>
                <w:szCs w:val="24"/>
                <w:highlight w:val="none"/>
              </w:rPr>
            </w:pPr>
          </w:p>
        </w:tc>
      </w:tr>
      <w:tr w14:paraId="197F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7778" w:type="dxa"/>
            <w:gridSpan w:val="5"/>
            <w:vAlign w:val="center"/>
          </w:tcPr>
          <w:p w14:paraId="7F7D35F2">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总计金额</w:t>
            </w:r>
          </w:p>
        </w:tc>
        <w:tc>
          <w:tcPr>
            <w:tcW w:w="1558" w:type="dxa"/>
            <w:vAlign w:val="center"/>
          </w:tcPr>
          <w:p w14:paraId="6FCB2DF7">
            <w:pPr>
              <w:spacing w:line="360" w:lineRule="auto"/>
              <w:jc w:val="center"/>
              <w:rPr>
                <w:rFonts w:ascii="宋体" w:hAnsi="宋体" w:cs="宋体"/>
                <w:color w:val="auto"/>
                <w:sz w:val="24"/>
                <w:szCs w:val="24"/>
                <w:highlight w:val="none"/>
              </w:rPr>
            </w:pPr>
          </w:p>
        </w:tc>
      </w:tr>
    </w:tbl>
    <w:p w14:paraId="63BE6767">
      <w:pPr>
        <w:pStyle w:val="12"/>
        <w:rPr>
          <w:rFonts w:hAnsi="宋体" w:cs="宋体"/>
          <w:color w:val="auto"/>
          <w:highlight w:val="none"/>
        </w:rPr>
      </w:pPr>
    </w:p>
    <w:p w14:paraId="79274F7D">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44BC99">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18C5D655">
      <w:pPr>
        <w:adjustRightInd w:val="0"/>
        <w:snapToGrid w:val="0"/>
        <w:spacing w:line="360" w:lineRule="auto"/>
        <w:ind w:firstLine="480" w:firstLineChars="200"/>
        <w:rPr>
          <w:rFonts w:hint="eastAsia" w:ascii="宋体" w:hAnsi="宋体" w:eastAsia="宋体"/>
          <w:color w:val="auto"/>
          <w:sz w:val="24"/>
          <w:highlight w:val="none"/>
        </w:rPr>
      </w:pPr>
    </w:p>
    <w:p w14:paraId="0AA10548">
      <w:pPr>
        <w:adjustRightInd w:val="0"/>
        <w:snapToGrid w:val="0"/>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A2783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A8729B1">
      <w:pPr>
        <w:widowControl/>
        <w:jc w:val="left"/>
        <w:rPr>
          <w:rFonts w:ascii="宋体" w:hAnsi="宋体" w:eastAsia="宋体"/>
          <w:b/>
          <w:bCs/>
          <w:color w:val="auto"/>
          <w:sz w:val="24"/>
          <w:szCs w:val="28"/>
          <w:highlight w:val="none"/>
        </w:rPr>
      </w:pPr>
    </w:p>
    <w:p w14:paraId="5AC10537">
      <w:pPr>
        <w:widowControl/>
        <w:jc w:val="left"/>
        <w:rPr>
          <w:rFonts w:ascii="宋体" w:hAnsi="宋体" w:eastAsia="宋体"/>
          <w:b/>
          <w:bCs/>
          <w:color w:val="auto"/>
          <w:sz w:val="24"/>
          <w:szCs w:val="28"/>
          <w:highlight w:val="none"/>
        </w:rPr>
      </w:pPr>
    </w:p>
    <w:p w14:paraId="66FEC328">
      <w:pPr>
        <w:widowControl/>
        <w:jc w:val="left"/>
        <w:rPr>
          <w:rFonts w:ascii="宋体" w:hAnsi="宋体" w:eastAsia="宋体"/>
          <w:b/>
          <w:bCs/>
          <w:color w:val="auto"/>
          <w:sz w:val="24"/>
          <w:szCs w:val="28"/>
          <w:highlight w:val="none"/>
        </w:rPr>
      </w:pPr>
    </w:p>
    <w:p w14:paraId="51E7AFB7">
      <w:pPr>
        <w:widowControl/>
        <w:jc w:val="left"/>
        <w:rPr>
          <w:rFonts w:ascii="宋体" w:hAnsi="宋体" w:eastAsia="宋体"/>
          <w:b/>
          <w:bCs/>
          <w:color w:val="auto"/>
          <w:sz w:val="24"/>
          <w:szCs w:val="28"/>
          <w:highlight w:val="none"/>
        </w:rPr>
      </w:pPr>
    </w:p>
    <w:p w14:paraId="3B649E72">
      <w:pPr>
        <w:widowControl/>
        <w:jc w:val="left"/>
        <w:rPr>
          <w:rFonts w:ascii="宋体" w:hAnsi="宋体" w:eastAsia="宋体"/>
          <w:b/>
          <w:bCs/>
          <w:color w:val="auto"/>
          <w:sz w:val="24"/>
          <w:szCs w:val="28"/>
          <w:highlight w:val="none"/>
        </w:rPr>
      </w:pPr>
    </w:p>
    <w:p w14:paraId="454C7780">
      <w:pPr>
        <w:widowControl/>
        <w:jc w:val="left"/>
        <w:rPr>
          <w:rFonts w:ascii="宋体" w:hAnsi="宋体" w:eastAsia="宋体"/>
          <w:b/>
          <w:bCs/>
          <w:color w:val="auto"/>
          <w:sz w:val="24"/>
          <w:szCs w:val="28"/>
          <w:highlight w:val="none"/>
        </w:rPr>
      </w:pPr>
    </w:p>
    <w:p w14:paraId="1EAEFF1B">
      <w:pPr>
        <w:widowControl/>
        <w:jc w:val="left"/>
        <w:rPr>
          <w:rFonts w:ascii="宋体" w:hAnsi="宋体" w:eastAsia="宋体"/>
          <w:b/>
          <w:bCs/>
          <w:color w:val="auto"/>
          <w:sz w:val="24"/>
          <w:szCs w:val="28"/>
          <w:highlight w:val="none"/>
        </w:rPr>
      </w:pPr>
    </w:p>
    <w:p w14:paraId="37D4A15E">
      <w:pPr>
        <w:widowControl/>
        <w:jc w:val="left"/>
        <w:rPr>
          <w:rFonts w:ascii="宋体" w:hAnsi="宋体" w:eastAsia="宋体"/>
          <w:b/>
          <w:bCs/>
          <w:color w:val="auto"/>
          <w:sz w:val="24"/>
          <w:szCs w:val="28"/>
          <w:highlight w:val="none"/>
        </w:rPr>
      </w:pPr>
    </w:p>
    <w:p w14:paraId="01AF6ACA">
      <w:pPr>
        <w:widowControl/>
        <w:jc w:val="left"/>
        <w:rPr>
          <w:rFonts w:ascii="宋体" w:hAnsi="宋体" w:eastAsia="宋体"/>
          <w:b/>
          <w:bCs/>
          <w:color w:val="auto"/>
          <w:sz w:val="24"/>
          <w:szCs w:val="28"/>
          <w:highlight w:val="none"/>
        </w:rPr>
      </w:pPr>
    </w:p>
    <w:p w14:paraId="2231B6AC">
      <w:pPr>
        <w:widowControl/>
        <w:jc w:val="left"/>
        <w:rPr>
          <w:rFonts w:ascii="宋体" w:hAnsi="宋体" w:eastAsia="宋体"/>
          <w:b/>
          <w:bCs/>
          <w:color w:val="auto"/>
          <w:sz w:val="24"/>
          <w:szCs w:val="28"/>
          <w:highlight w:val="none"/>
        </w:rPr>
      </w:pPr>
    </w:p>
    <w:p w14:paraId="48D5B97D">
      <w:pPr>
        <w:widowControl/>
        <w:jc w:val="left"/>
        <w:rPr>
          <w:rFonts w:ascii="宋体" w:hAnsi="宋体" w:eastAsia="宋体"/>
          <w:b/>
          <w:bCs/>
          <w:color w:val="auto"/>
          <w:sz w:val="24"/>
          <w:szCs w:val="28"/>
          <w:highlight w:val="none"/>
        </w:rPr>
      </w:pPr>
    </w:p>
    <w:p w14:paraId="4AD2D3F5">
      <w:pPr>
        <w:widowControl/>
        <w:jc w:val="left"/>
        <w:rPr>
          <w:rFonts w:ascii="宋体" w:hAnsi="宋体" w:eastAsia="宋体"/>
          <w:b/>
          <w:bCs/>
          <w:color w:val="auto"/>
          <w:sz w:val="24"/>
          <w:szCs w:val="28"/>
          <w:highlight w:val="none"/>
        </w:rPr>
      </w:pPr>
    </w:p>
    <w:p w14:paraId="6F9F4884">
      <w:pPr>
        <w:widowControl/>
        <w:jc w:val="left"/>
        <w:rPr>
          <w:rFonts w:ascii="宋体" w:hAnsi="宋体" w:eastAsia="宋体"/>
          <w:b/>
          <w:bCs/>
          <w:color w:val="auto"/>
          <w:sz w:val="24"/>
          <w:szCs w:val="28"/>
          <w:highlight w:val="none"/>
        </w:rPr>
      </w:pPr>
    </w:p>
    <w:p w14:paraId="778DBDB0">
      <w:pPr>
        <w:widowControl/>
        <w:jc w:val="left"/>
        <w:rPr>
          <w:rFonts w:ascii="宋体" w:hAnsi="宋体" w:eastAsia="宋体"/>
          <w:b/>
          <w:bCs/>
          <w:color w:val="auto"/>
          <w:sz w:val="24"/>
          <w:szCs w:val="28"/>
          <w:highlight w:val="none"/>
        </w:rPr>
      </w:pPr>
    </w:p>
    <w:p w14:paraId="05CF3CB8">
      <w:pPr>
        <w:widowControl/>
        <w:jc w:val="left"/>
        <w:rPr>
          <w:rFonts w:ascii="宋体" w:hAnsi="宋体" w:eastAsia="宋体"/>
          <w:b/>
          <w:bCs/>
          <w:color w:val="auto"/>
          <w:sz w:val="24"/>
          <w:szCs w:val="28"/>
          <w:highlight w:val="none"/>
        </w:rPr>
      </w:pPr>
    </w:p>
    <w:p w14:paraId="68A4208E">
      <w:pPr>
        <w:spacing w:line="360" w:lineRule="auto"/>
        <w:jc w:val="center"/>
        <w:outlineLvl w:val="1"/>
        <w:rPr>
          <w:rFonts w:asciiTheme="minorEastAsia" w:hAnsiTheme="minorEastAsia" w:eastAsiaTheme="minorEastAsia"/>
          <w:b/>
          <w:color w:val="auto"/>
          <w:sz w:val="24"/>
          <w:highlight w:val="none"/>
        </w:rPr>
      </w:pPr>
      <w:bookmarkStart w:id="87" w:name="_Toc461056632"/>
      <w:bookmarkStart w:id="88" w:name="_Toc461053087"/>
      <w:bookmarkStart w:id="89" w:name="_Toc520983588"/>
      <w:bookmarkStart w:id="90" w:name="_Toc28695"/>
      <w:bookmarkStart w:id="91" w:name="_Toc32436"/>
      <w:r>
        <w:rPr>
          <w:rFonts w:hint="eastAsia" w:asciiTheme="minorEastAsia" w:hAnsiTheme="minorEastAsia" w:eastAsiaTheme="minorEastAsia"/>
          <w:b/>
          <w:color w:val="auto"/>
          <w:sz w:val="24"/>
          <w:highlight w:val="none"/>
        </w:rPr>
        <w:t>二</w:t>
      </w:r>
      <w:bookmarkEnd w:id="87"/>
      <w:bookmarkEnd w:id="88"/>
      <w:r>
        <w:rPr>
          <w:rFonts w:hint="eastAsia" w:asciiTheme="minorEastAsia" w:hAnsiTheme="minorEastAsia" w:eastAsiaTheme="minorEastAsia"/>
          <w:b/>
          <w:color w:val="auto"/>
          <w:sz w:val="24"/>
          <w:highlight w:val="none"/>
        </w:rPr>
        <w:t>、最后承诺报价表</w:t>
      </w:r>
      <w:bookmarkEnd w:id="89"/>
      <w:bookmarkEnd w:id="90"/>
      <w:bookmarkEnd w:id="9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5"/>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p>
    <w:p w14:paraId="166BBDFA">
      <w:pPr>
        <w:spacing w:line="360" w:lineRule="auto"/>
        <w:jc w:val="center"/>
        <w:outlineLvl w:val="1"/>
        <w:rPr>
          <w:rFonts w:asciiTheme="minorEastAsia" w:hAnsiTheme="minorEastAsia" w:eastAsiaTheme="minorEastAsia"/>
          <w:b/>
          <w:color w:val="auto"/>
          <w:sz w:val="24"/>
          <w:highlight w:val="none"/>
        </w:rPr>
      </w:pPr>
      <w:bookmarkStart w:id="92" w:name="_Toc32385"/>
      <w:bookmarkStart w:id="93" w:name="_Toc11500"/>
      <w:bookmarkStart w:id="94" w:name="_Toc520983591"/>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bookmarkEnd w:id="92"/>
      <w:bookmarkEnd w:id="93"/>
      <w:bookmarkEnd w:id="94"/>
    </w:p>
    <w:p w14:paraId="5FCDD945">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5"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9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6" w:name="_Toc21328"/>
      <w:r>
        <w:rPr>
          <w:rFonts w:hint="eastAsia" w:asciiTheme="minorEastAsia" w:hAnsiTheme="minorEastAsia" w:eastAsiaTheme="minorEastAsia"/>
          <w:b/>
          <w:color w:val="auto"/>
          <w:sz w:val="24"/>
          <w:highlight w:val="none"/>
          <w:lang w:val="en-US" w:eastAsia="zh-CN"/>
        </w:rPr>
        <w:t>四、供应商资格声明书</w:t>
      </w:r>
      <w:bookmarkEnd w:id="96"/>
    </w:p>
    <w:p w14:paraId="1EA6E051">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97" w:name="_Toc31518"/>
      <w:bookmarkStart w:id="98" w:name="_Toc121626298"/>
      <w:bookmarkStart w:id="99" w:name="_Toc26922"/>
      <w:bookmarkStart w:id="100" w:name="_Toc516969106"/>
      <w:bookmarkStart w:id="101" w:name="_Toc520983594"/>
      <w:bookmarkStart w:id="102" w:name="_Toc204594911"/>
      <w:r>
        <w:rPr>
          <w:rFonts w:hint="eastAsia" w:asciiTheme="minorEastAsia" w:hAnsiTheme="minorEastAsia" w:eastAsiaTheme="minorEastAsia"/>
          <w:b/>
          <w:color w:val="auto"/>
          <w:sz w:val="24"/>
          <w:highlight w:val="none"/>
        </w:rPr>
        <w:t>五、授权书</w:t>
      </w:r>
      <w:bookmarkEnd w:id="97"/>
      <w:bookmarkEnd w:id="98"/>
      <w:bookmarkEnd w:id="99"/>
      <w:bookmarkEnd w:id="100"/>
      <w:bookmarkEnd w:id="101"/>
      <w:bookmarkEnd w:id="102"/>
    </w:p>
    <w:p w14:paraId="74844012">
      <w:pPr>
        <w:spacing w:line="360" w:lineRule="auto"/>
        <w:jc w:val="center"/>
        <w:rPr>
          <w:rFonts w:asciiTheme="minorEastAsia" w:hAnsiTheme="minorEastAsia" w:eastAsiaTheme="minorEastAsia"/>
          <w:b/>
          <w:color w:val="auto"/>
          <w:sz w:val="24"/>
          <w:highlight w:val="none"/>
        </w:rPr>
      </w:pPr>
    </w:p>
    <w:p w14:paraId="2FFA1621">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34E8E3A7">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3" w:name="_Toc28033"/>
      <w:bookmarkStart w:id="104"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3"/>
      <w:bookmarkEnd w:id="104"/>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3"/>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15"/>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5" w:name="_Hlk44283017"/>
    </w:p>
    <w:bookmarkEnd w:id="105"/>
    <w:p w14:paraId="37E76ABE">
      <w:pPr>
        <w:rPr>
          <w:rFonts w:hint="eastAsia" w:asciiTheme="minorEastAsia" w:hAnsiTheme="minorEastAsia" w:eastAsiaTheme="minorEastAsia"/>
          <w:b/>
          <w:color w:val="auto"/>
          <w:sz w:val="24"/>
          <w:highlight w:val="none"/>
        </w:rPr>
      </w:pPr>
      <w:bookmarkStart w:id="106" w:name="_Toc2278"/>
      <w:bookmarkStart w:id="107" w:name="_Toc20592"/>
      <w:bookmarkStart w:id="108"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6"/>
      <w:bookmarkEnd w:id="107"/>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15"/>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15"/>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谈判</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15"/>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15"/>
        <w:spacing w:before="78" w:line="219" w:lineRule="auto"/>
        <w:ind w:left="4350"/>
        <w:rPr>
          <w:spacing w:val="-2"/>
          <w:sz w:val="24"/>
          <w:szCs w:val="24"/>
          <w:highlight w:val="yellow"/>
        </w:rPr>
      </w:pPr>
    </w:p>
    <w:p w14:paraId="785F5771">
      <w:pPr>
        <w:pStyle w:val="15"/>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15"/>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15"/>
        <w:spacing w:before="78" w:line="224" w:lineRule="auto"/>
        <w:ind w:firstLine="450" w:firstLineChars="200"/>
        <w:rPr>
          <w:sz w:val="24"/>
          <w:szCs w:val="24"/>
          <w:highlight w:val="yellow"/>
        </w:rPr>
      </w:pPr>
      <w:r>
        <w:rPr>
          <w:b/>
          <w:bCs/>
          <w:spacing w:val="-8"/>
          <w:sz w:val="24"/>
          <w:szCs w:val="24"/>
          <w:highlight w:val="yellow"/>
        </w:rPr>
        <w:t>注：</w:t>
      </w:r>
    </w:p>
    <w:p w14:paraId="6467157E">
      <w:pPr>
        <w:pStyle w:val="15"/>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15"/>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如谈判文件《供应商须知前附表》有约定的，成交供应商经谈判小组评审认可的相关业绩将按约定随成交公告结果公告同时公告。</w:t>
      </w:r>
    </w:p>
    <w:bookmarkEnd w:id="108"/>
    <w:p w14:paraId="1F4B89C8">
      <w:pPr>
        <w:spacing w:line="360" w:lineRule="auto"/>
        <w:jc w:val="center"/>
        <w:outlineLvl w:val="1"/>
        <w:rPr>
          <w:rFonts w:asciiTheme="minorEastAsia" w:hAnsiTheme="minorEastAsia" w:eastAsiaTheme="minorEastAsia"/>
          <w:b/>
          <w:color w:val="auto"/>
          <w:sz w:val="24"/>
          <w:highlight w:val="none"/>
        </w:rPr>
      </w:pPr>
      <w:bookmarkStart w:id="109" w:name="_Toc7807"/>
      <w:bookmarkStart w:id="110" w:name="_Toc382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09"/>
      <w:bookmarkEnd w:id="110"/>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1" w:name="_Toc63440924"/>
      <w:bookmarkStart w:id="112"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1"/>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2"/>
    </w:p>
    <w:p w14:paraId="41FD10DD">
      <w:pPr>
        <w:spacing w:line="360" w:lineRule="auto"/>
        <w:jc w:val="center"/>
        <w:outlineLvl w:val="1"/>
        <w:rPr>
          <w:rFonts w:ascii="仿宋" w:hAnsi="仿宋" w:eastAsia="仿宋" w:cs="仿宋"/>
          <w:b/>
          <w:bCs/>
          <w:color w:val="auto"/>
          <w:sz w:val="32"/>
          <w:szCs w:val="44"/>
          <w:highlight w:val="none"/>
        </w:rPr>
      </w:pPr>
      <w:bookmarkStart w:id="113" w:name="_Toc8735"/>
      <w:bookmarkStart w:id="114" w:name="_Toc2142"/>
      <w:r>
        <w:rPr>
          <w:rFonts w:hint="eastAsia" w:ascii="仿宋" w:hAnsi="仿宋" w:eastAsia="仿宋" w:cs="仿宋"/>
          <w:b/>
          <w:bCs/>
          <w:color w:val="auto"/>
          <w:sz w:val="32"/>
          <w:szCs w:val="44"/>
          <w:highlight w:val="none"/>
        </w:rPr>
        <w:t>询问函范本</w:t>
      </w:r>
      <w:bookmarkEnd w:id="113"/>
      <w:bookmarkEnd w:id="114"/>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5" w:name="_Toc9092"/>
      <w:bookmarkStart w:id="116" w:name="_Toc26386"/>
      <w:r>
        <w:rPr>
          <w:rFonts w:hint="eastAsia" w:cs="仿宋" w:asciiTheme="minorEastAsia" w:hAnsiTheme="minorEastAsia" w:eastAsiaTheme="minorEastAsia"/>
          <w:color w:val="auto"/>
          <w:sz w:val="24"/>
          <w:szCs w:val="24"/>
          <w:highlight w:val="none"/>
        </w:rPr>
        <w:t>一、(事项一)</w:t>
      </w:r>
      <w:bookmarkEnd w:id="115"/>
      <w:bookmarkEnd w:id="116"/>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7" w:name="_Toc17582"/>
      <w:bookmarkStart w:id="118" w:name="_Toc9273"/>
      <w:r>
        <w:rPr>
          <w:rFonts w:hint="eastAsia" w:cs="仿宋" w:asciiTheme="minorEastAsia" w:hAnsiTheme="minorEastAsia" w:eastAsiaTheme="minorEastAsia"/>
          <w:color w:val="auto"/>
          <w:sz w:val="24"/>
          <w:szCs w:val="24"/>
          <w:highlight w:val="none"/>
        </w:rPr>
        <w:t>二、(事项二)</w:t>
      </w:r>
      <w:bookmarkEnd w:id="117"/>
      <w:bookmarkEnd w:id="118"/>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19" w:name="_Toc26673"/>
      <w:bookmarkStart w:id="120" w:name="_Toc6990"/>
      <w:r>
        <w:rPr>
          <w:rFonts w:hint="eastAsia" w:ascii="仿宋" w:hAnsi="仿宋" w:eastAsia="仿宋" w:cs="仿宋"/>
          <w:b/>
          <w:bCs/>
          <w:color w:val="auto"/>
          <w:sz w:val="32"/>
          <w:szCs w:val="44"/>
          <w:highlight w:val="none"/>
        </w:rPr>
        <w:t>质疑函范本</w:t>
      </w:r>
      <w:bookmarkEnd w:id="119"/>
      <w:bookmarkEnd w:id="120"/>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1" w:name="_Toc2994"/>
      <w:bookmarkStart w:id="122" w:name="_Toc29510"/>
      <w:r>
        <w:rPr>
          <w:rFonts w:hint="eastAsia" w:cs="仿宋" w:asciiTheme="minorEastAsia" w:hAnsiTheme="minorEastAsia" w:eastAsiaTheme="minorEastAsia"/>
          <w:b/>
          <w:bCs/>
          <w:color w:val="auto"/>
          <w:sz w:val="24"/>
          <w:szCs w:val="24"/>
          <w:highlight w:val="none"/>
        </w:rPr>
        <w:t>一、质疑供应商基本信息</w:t>
      </w:r>
      <w:bookmarkEnd w:id="121"/>
      <w:bookmarkEnd w:id="122"/>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3" w:name="_Toc31042"/>
      <w:bookmarkStart w:id="124" w:name="_Toc28130"/>
      <w:r>
        <w:rPr>
          <w:rFonts w:hint="eastAsia" w:cs="仿宋" w:asciiTheme="minorEastAsia" w:hAnsiTheme="minorEastAsia" w:eastAsiaTheme="minorEastAsia"/>
          <w:b/>
          <w:bCs/>
          <w:color w:val="auto"/>
          <w:sz w:val="24"/>
          <w:szCs w:val="24"/>
          <w:highlight w:val="none"/>
        </w:rPr>
        <w:t>二、质疑项目基本情况</w:t>
      </w:r>
      <w:bookmarkEnd w:id="123"/>
      <w:bookmarkEnd w:id="124"/>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5" w:name="_Toc20587"/>
      <w:bookmarkStart w:id="126" w:name="_Toc6486"/>
      <w:r>
        <w:rPr>
          <w:rFonts w:hint="eastAsia" w:cs="仿宋" w:asciiTheme="minorEastAsia" w:hAnsiTheme="minorEastAsia" w:eastAsiaTheme="minorEastAsia"/>
          <w:b/>
          <w:bCs/>
          <w:color w:val="auto"/>
          <w:sz w:val="24"/>
          <w:szCs w:val="24"/>
          <w:highlight w:val="none"/>
        </w:rPr>
        <w:t>三、质疑事项具体内容</w:t>
      </w:r>
      <w:bookmarkEnd w:id="125"/>
      <w:bookmarkEnd w:id="126"/>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7" w:name="_Toc32755"/>
      <w:bookmarkStart w:id="128" w:name="_Toc20470"/>
      <w:r>
        <w:rPr>
          <w:rFonts w:hint="eastAsia" w:cs="仿宋" w:asciiTheme="minorEastAsia" w:hAnsiTheme="minorEastAsia" w:eastAsiaTheme="minorEastAsia"/>
          <w:b/>
          <w:bCs/>
          <w:color w:val="auto"/>
          <w:sz w:val="24"/>
          <w:szCs w:val="24"/>
          <w:highlight w:val="none"/>
        </w:rPr>
        <w:t>四、与质疑事项相关的质疑请求</w:t>
      </w:r>
      <w:bookmarkEnd w:id="127"/>
      <w:bookmarkEnd w:id="128"/>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29" w:name="_Toc8368"/>
      <w:bookmarkStart w:id="130" w:name="_Toc21667"/>
      <w:r>
        <w:rPr>
          <w:rFonts w:hint="eastAsia" w:asciiTheme="minorEastAsia" w:hAnsiTheme="minorEastAsia" w:eastAsiaTheme="minorEastAsia"/>
          <w:b/>
          <w:color w:val="auto"/>
          <w:sz w:val="28"/>
          <w:szCs w:val="32"/>
          <w:highlight w:val="none"/>
        </w:rPr>
        <w:t>质疑函制作说明：</w:t>
      </w:r>
      <w:bookmarkEnd w:id="129"/>
      <w:bookmarkEnd w:id="130"/>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7"/>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w:t>
    </w:r>
    <w:r>
      <w:rPr>
        <w:rFonts w:hint="eastAsia" w:asciiTheme="minorEastAsia" w:hAnsiTheme="minorEastAsia"/>
        <w:lang w:eastAsia="zh-CN"/>
      </w:rPr>
      <w:t>谈判</w:t>
    </w:r>
    <w:r>
      <w:rPr>
        <w:rFonts w:hint="eastAsia" w:asciiTheme="minorEastAsia" w:hAnsiTheme="minorEastAsia" w:eastAsiaTheme="minorEastAsia"/>
      </w:rPr>
      <w:t>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86E4163"/>
    <w:rsid w:val="291E2007"/>
    <w:rsid w:val="29CF3D8B"/>
    <w:rsid w:val="2CD32C5A"/>
    <w:rsid w:val="2D2D2C20"/>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DDE563E"/>
    <w:rsid w:val="3F5D7BA0"/>
    <w:rsid w:val="406E7427"/>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7702DC"/>
    <w:rsid w:val="6AC87D14"/>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annotation text"/>
    <w:basedOn w:val="1"/>
    <w:link w:val="117"/>
    <w:unhideWhenUsed/>
    <w:qFormat/>
    <w:uiPriority w:val="0"/>
    <w:pPr>
      <w:adjustRightInd/>
      <w:spacing w:line="500" w:lineRule="exact"/>
      <w:jc w:val="left"/>
    </w:pPr>
    <w:rPr>
      <w:sz w:val="20"/>
    </w:rPr>
  </w:style>
  <w:style w:type="paragraph" w:styleId="14">
    <w:name w:val="Body Text 3"/>
    <w:basedOn w:val="1"/>
    <w:link w:val="73"/>
    <w:semiHidden/>
    <w:unhideWhenUsed/>
    <w:qFormat/>
    <w:uiPriority w:val="99"/>
    <w:pPr>
      <w:spacing w:after="120"/>
    </w:pPr>
    <w:rPr>
      <w:sz w:val="16"/>
      <w:szCs w:val="16"/>
    </w:rPr>
  </w:style>
  <w:style w:type="paragraph" w:styleId="15">
    <w:name w:val="Body Text"/>
    <w:basedOn w:val="1"/>
    <w:next w:val="1"/>
    <w:link w:val="80"/>
    <w:autoRedefine/>
    <w:unhideWhenUsed/>
    <w:qFormat/>
    <w:uiPriority w:val="0"/>
    <w:pPr>
      <w:spacing w:after="120"/>
    </w:pPr>
  </w:style>
  <w:style w:type="paragraph" w:styleId="16">
    <w:name w:val="Body Text Indent"/>
    <w:basedOn w:val="1"/>
    <w:next w:val="17"/>
    <w:link w:val="63"/>
    <w:unhideWhenUsed/>
    <w:qFormat/>
    <w:uiPriority w:val="0"/>
    <w:pPr>
      <w:ind w:left="2730" w:hanging="2730" w:hangingChars="1365"/>
      <w:jc w:val="left"/>
    </w:pPr>
    <w:rPr>
      <w:sz w:val="20"/>
      <w:lang w:bidi="he-IL"/>
    </w:rPr>
  </w:style>
  <w:style w:type="paragraph" w:styleId="17">
    <w:name w:val="envelope return"/>
    <w:basedOn w:val="1"/>
    <w:qFormat/>
    <w:uiPriority w:val="0"/>
    <w:pPr>
      <w:snapToGrid w:val="0"/>
    </w:pPr>
    <w:rPr>
      <w:rFonts w:ascii="Arial" w:hAnsi="Aria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28"/>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15"/>
    <w:link w:val="87"/>
    <w:autoRedefine/>
    <w:unhideWhenUsed/>
    <w:qFormat/>
    <w:uiPriority w:val="99"/>
    <w:pPr>
      <w:ind w:firstLine="420" w:firstLineChars="100"/>
    </w:pPr>
  </w:style>
  <w:style w:type="paragraph" w:styleId="39">
    <w:name w:val="Body Text First Indent 2"/>
    <w:basedOn w:val="16"/>
    <w:next w:val="15"/>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7"/>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4"/>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5"/>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39"/>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8"/>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3"/>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39</Pages>
  <Words>972</Words>
  <Characters>1094</Characters>
  <Lines>29</Lines>
  <Paragraphs>8</Paragraphs>
  <TotalTime>4</TotalTime>
  <ScaleCrop>false</ScaleCrop>
  <LinksUpToDate>false</LinksUpToDate>
  <CharactersWithSpaces>1220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2026-08-04T23:33:39Z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25A7A6CB863D4BB7932326B0CFC3015A_13</vt:lpwstr>
  </property>
  <property fmtid="{D5CDD505-2E9C-101B-9397-08002B2CF9AE}" pid="4" name="KSOTemplateDocerSaveRecord">
    <vt:lpwstr>eyJoZGlkIjoiZmZiYmM4NzlhZjdiMmExNTk1YzZjMTNkYTVjNzExZDciLCJ1c2VySWQiOiIyNjUyMTU1NzAifQ==</vt:lpwstr>
  </property>
</Properties>
</file>