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5F5ACD">
      <w:pPr>
        <w:spacing w:line="360" w:lineRule="auto"/>
        <w:ind w:firstLine="442" w:firstLineChars="100"/>
        <w:jc w:val="center"/>
        <w:rPr>
          <w:rFonts w:hint="default" w:ascii="宋体" w:hAnsi="宋体" w:cs="宋体"/>
          <w:b/>
          <w:color w:val="auto"/>
          <w:sz w:val="44"/>
          <w:szCs w:val="44"/>
          <w:highlight w:val="none"/>
          <w:lang w:val="en-US" w:eastAsia="zh-CN"/>
        </w:rPr>
      </w:pPr>
      <w:r>
        <w:rPr>
          <w:rFonts w:hint="eastAsia" w:ascii="宋体" w:hAnsi="宋体" w:cs="宋体"/>
          <w:b/>
          <w:color w:val="auto"/>
          <w:sz w:val="44"/>
          <w:szCs w:val="44"/>
          <w:highlight w:val="none"/>
          <w:lang w:val="en-US" w:eastAsia="zh-CN"/>
        </w:rPr>
        <w:t>桐城师范高等专科学校2026年军训服装</w:t>
      </w:r>
    </w:p>
    <w:p w14:paraId="51DBBFE4">
      <w:pPr>
        <w:spacing w:line="360" w:lineRule="auto"/>
        <w:ind w:firstLine="442" w:firstLineChars="100"/>
        <w:jc w:val="center"/>
        <w:rPr>
          <w:rFonts w:hint="default" w:ascii="宋体" w:hAnsi="宋体" w:eastAsia="宋体" w:cs="宋体"/>
          <w:b/>
          <w:color w:val="auto"/>
          <w:sz w:val="44"/>
          <w:szCs w:val="44"/>
          <w:highlight w:val="none"/>
          <w:lang w:val="en-US" w:eastAsia="zh-CN"/>
        </w:rPr>
      </w:pPr>
      <w:r>
        <w:rPr>
          <w:rFonts w:hint="eastAsia" w:ascii="宋体" w:hAnsi="宋体" w:cs="宋体"/>
          <w:b/>
          <w:color w:val="auto"/>
          <w:sz w:val="44"/>
          <w:szCs w:val="44"/>
          <w:highlight w:val="none"/>
          <w:lang w:val="en-US" w:eastAsia="zh-CN"/>
        </w:rPr>
        <w:t>采购项目</w:t>
      </w:r>
    </w:p>
    <w:p w14:paraId="012F5E32">
      <w:pPr>
        <w:pStyle w:val="2"/>
        <w:rPr>
          <w:rFonts w:hint="eastAsia"/>
          <w:color w:val="auto"/>
          <w:highlight w:val="none"/>
        </w:rPr>
      </w:pPr>
    </w:p>
    <w:p w14:paraId="16BD5BFA">
      <w:pPr>
        <w:spacing w:line="480" w:lineRule="exact"/>
        <w:rPr>
          <w:rFonts w:ascii="宋体"/>
          <w:color w:val="auto"/>
          <w:sz w:val="44"/>
          <w:szCs w:val="44"/>
          <w:highlight w:val="none"/>
        </w:rPr>
      </w:pPr>
    </w:p>
    <w:p w14:paraId="2E845CB9">
      <w:pPr>
        <w:pStyle w:val="2"/>
        <w:jc w:val="center"/>
        <w:rPr>
          <w:rFonts w:hint="default" w:eastAsia="宋体"/>
          <w:b/>
          <w:bCs/>
          <w:color w:val="auto"/>
          <w:sz w:val="72"/>
          <w:szCs w:val="72"/>
          <w:highlight w:val="none"/>
          <w:lang w:val="en-US" w:eastAsia="zh-CN"/>
        </w:rPr>
      </w:pPr>
      <w:r>
        <w:rPr>
          <w:rFonts w:hint="eastAsia" w:ascii="宋体"/>
          <w:b/>
          <w:bCs/>
          <w:color w:val="auto"/>
          <w:sz w:val="72"/>
          <w:szCs w:val="72"/>
          <w:highlight w:val="none"/>
          <w:lang w:val="en-US" w:eastAsia="zh-CN"/>
        </w:rPr>
        <w:t>竞争性谈判文件</w:t>
      </w:r>
    </w:p>
    <w:p w14:paraId="0A0C4D98">
      <w:pPr>
        <w:spacing w:line="480" w:lineRule="exact"/>
        <w:rPr>
          <w:rFonts w:ascii="仿宋_GB2312" w:hAnsi="宋体" w:eastAsia="仿宋_GB2312"/>
          <w:b/>
          <w:color w:val="auto"/>
          <w:sz w:val="44"/>
          <w:szCs w:val="44"/>
          <w:highlight w:val="none"/>
        </w:rPr>
      </w:pPr>
    </w:p>
    <w:p w14:paraId="573E3840">
      <w:pPr>
        <w:spacing w:line="480" w:lineRule="exact"/>
        <w:rPr>
          <w:rFonts w:ascii="宋体"/>
          <w:color w:val="auto"/>
          <w:sz w:val="144"/>
          <w:szCs w:val="144"/>
          <w:highlight w:val="none"/>
        </w:rPr>
      </w:pPr>
    </w:p>
    <w:p w14:paraId="3412A2E2">
      <w:pPr>
        <w:spacing w:line="480" w:lineRule="exact"/>
        <w:jc w:val="center"/>
        <w:rPr>
          <w:rFonts w:hint="eastAsia" w:ascii="宋体" w:hAnsi="宋体" w:cs="宋体"/>
          <w:b/>
          <w:bCs/>
          <w:color w:val="auto"/>
          <w:sz w:val="28"/>
          <w:szCs w:val="28"/>
          <w:highlight w:val="none"/>
        </w:rPr>
      </w:pPr>
    </w:p>
    <w:p w14:paraId="3A64AE3D">
      <w:pPr>
        <w:spacing w:line="480" w:lineRule="exact"/>
        <w:jc w:val="center"/>
        <w:rPr>
          <w:rFonts w:hint="default"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项目编号：TCSZCG(202</w:t>
      </w:r>
      <w:r>
        <w:rPr>
          <w:rFonts w:hint="eastAsia" w:ascii="宋体" w:hAnsi="宋体" w:cs="宋体"/>
          <w:b/>
          <w:bCs/>
          <w:color w:val="auto"/>
          <w:sz w:val="28"/>
          <w:szCs w:val="28"/>
          <w:highlight w:val="none"/>
          <w:lang w:val="en-US" w:eastAsia="zh-CN"/>
        </w:rPr>
        <w:t>6</w:t>
      </w:r>
      <w:r>
        <w:rPr>
          <w:rFonts w:hint="eastAsia" w:ascii="宋体" w:hAnsi="宋体" w:cs="宋体"/>
          <w:b/>
          <w:bCs/>
          <w:color w:val="auto"/>
          <w:sz w:val="28"/>
          <w:szCs w:val="28"/>
          <w:highlight w:val="none"/>
        </w:rPr>
        <w:t xml:space="preserve">) </w:t>
      </w:r>
      <w:r>
        <w:rPr>
          <w:rFonts w:hint="eastAsia" w:ascii="宋体" w:hAnsi="宋体" w:cs="宋体"/>
          <w:b/>
          <w:bCs/>
          <w:color w:val="auto"/>
          <w:sz w:val="28"/>
          <w:szCs w:val="28"/>
          <w:highlight w:val="none"/>
          <w:lang w:val="en-US" w:eastAsia="zh-CN"/>
        </w:rPr>
        <w:t>011</w:t>
      </w:r>
      <w:r>
        <w:rPr>
          <w:rFonts w:hint="eastAsia" w:ascii="宋体" w:hAnsi="宋体" w:cs="宋体"/>
          <w:b/>
          <w:bCs/>
          <w:color w:val="auto"/>
          <w:sz w:val="28"/>
          <w:szCs w:val="28"/>
          <w:highlight w:val="none"/>
        </w:rPr>
        <w:t>号</w:t>
      </w:r>
    </w:p>
    <w:p w14:paraId="60801A24">
      <w:pPr>
        <w:spacing w:line="480" w:lineRule="exact"/>
        <w:jc w:val="center"/>
        <w:rPr>
          <w:rFonts w:ascii="宋体" w:hAnsi="宋体" w:cs="仿宋_GB2312"/>
          <w:b/>
          <w:bCs/>
          <w:color w:val="auto"/>
          <w:sz w:val="28"/>
          <w:szCs w:val="28"/>
          <w:highlight w:val="none"/>
        </w:rPr>
      </w:pPr>
    </w:p>
    <w:p w14:paraId="2B5EF3EB">
      <w:pPr>
        <w:spacing w:line="480" w:lineRule="exact"/>
        <w:rPr>
          <w:rFonts w:ascii="宋体" w:hAnsi="宋体" w:cs="仿宋_GB2312"/>
          <w:color w:val="auto"/>
          <w:szCs w:val="21"/>
          <w:highlight w:val="none"/>
        </w:rPr>
      </w:pPr>
    </w:p>
    <w:p w14:paraId="3A46A1F9">
      <w:pPr>
        <w:spacing w:line="480" w:lineRule="exact"/>
        <w:rPr>
          <w:rFonts w:ascii="宋体" w:hAnsi="宋体" w:cs="仿宋_GB2312"/>
          <w:color w:val="auto"/>
          <w:szCs w:val="21"/>
          <w:highlight w:val="none"/>
        </w:rPr>
      </w:pPr>
    </w:p>
    <w:p w14:paraId="088D46C3">
      <w:pPr>
        <w:spacing w:line="480" w:lineRule="exact"/>
        <w:rPr>
          <w:rFonts w:ascii="宋体" w:hAnsi="宋体" w:cs="仿宋_GB2312"/>
          <w:color w:val="auto"/>
          <w:szCs w:val="21"/>
          <w:highlight w:val="none"/>
        </w:rPr>
      </w:pPr>
    </w:p>
    <w:p w14:paraId="565F3C01">
      <w:pPr>
        <w:spacing w:line="360" w:lineRule="auto"/>
        <w:ind w:firstLine="596" w:firstLineChars="198"/>
        <w:rPr>
          <w:rFonts w:ascii="宋体" w:hAnsi="宋体" w:cs="仿宋_GB2312"/>
          <w:b/>
          <w:color w:val="auto"/>
          <w:szCs w:val="21"/>
          <w:highlight w:val="none"/>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仿宋" w:hAnsi="仿宋" w:eastAsia="仿宋"/>
          <w:b/>
          <w:color w:val="auto"/>
          <w:spacing w:val="20"/>
          <w:sz w:val="30"/>
          <w:szCs w:val="30"/>
          <w:highlight w:val="none"/>
          <w:u w:val="single"/>
          <w:lang w:val="en-US" w:eastAsia="zh-CN"/>
        </w:rPr>
        <w:t>桐城师范高等专科学校</w:t>
      </w:r>
      <w:r>
        <w:rPr>
          <w:rFonts w:hint="eastAsia" w:ascii="仿宋" w:hAnsi="仿宋" w:eastAsia="仿宋"/>
          <w:b/>
          <w:color w:val="auto"/>
          <w:spacing w:val="20"/>
          <w:sz w:val="30"/>
          <w:szCs w:val="30"/>
          <w:highlight w:val="none"/>
          <w:u w:val="single"/>
        </w:rPr>
        <w:t xml:space="preserve"> </w:t>
      </w:r>
      <w:r>
        <w:rPr>
          <w:rFonts w:ascii="宋体" w:hAnsi="宋体" w:cs="仿宋_GB2312"/>
          <w:b/>
          <w:color w:val="auto"/>
          <w:spacing w:val="20"/>
          <w:sz w:val="30"/>
          <w:szCs w:val="30"/>
          <w:highlight w:val="none"/>
          <w:u w:val="single"/>
        </w:rPr>
        <w:t xml:space="preserve">    </w:t>
      </w:r>
      <w:r>
        <w:rPr>
          <w:rFonts w:ascii="宋体" w:hAnsi="宋体" w:cs="仿宋_GB2312"/>
          <w:b/>
          <w:color w:val="auto"/>
          <w:sz w:val="30"/>
          <w:szCs w:val="30"/>
          <w:highlight w:val="none"/>
          <w:u w:val="single"/>
        </w:rPr>
        <w:t xml:space="preserve">  </w:t>
      </w:r>
    </w:p>
    <w:p w14:paraId="136F318C">
      <w:pPr>
        <w:spacing w:line="360" w:lineRule="auto"/>
        <w:rPr>
          <w:rFonts w:ascii="宋体" w:hAnsi="宋体" w:cs="仿宋_GB2312"/>
          <w:b/>
          <w:color w:val="auto"/>
          <w:sz w:val="24"/>
          <w:highlight w:val="none"/>
        </w:rPr>
      </w:pPr>
    </w:p>
    <w:p w14:paraId="2CB90923">
      <w:pPr>
        <w:spacing w:line="360" w:lineRule="auto"/>
        <w:rPr>
          <w:rFonts w:hint="eastAsia" w:ascii="仿宋" w:hAnsi="仿宋" w:eastAsia="仿宋" w:cs="仿宋"/>
          <w:b/>
          <w:color w:val="auto"/>
          <w:sz w:val="24"/>
          <w:highlight w:val="none"/>
        </w:rPr>
      </w:pPr>
    </w:p>
    <w:p w14:paraId="7CADB34F">
      <w:pPr>
        <w:spacing w:line="360" w:lineRule="auto"/>
        <w:ind w:firstLine="596" w:firstLineChars="198"/>
        <w:rPr>
          <w:rFonts w:hint="eastAsia" w:ascii="仿宋" w:hAnsi="仿宋" w:eastAsia="仿宋" w:cs="仿宋"/>
          <w:b/>
          <w:color w:val="auto"/>
          <w:szCs w:val="21"/>
          <w:highlight w:val="none"/>
        </w:rPr>
      </w:pPr>
      <w:r>
        <w:rPr>
          <w:rFonts w:hint="eastAsia" w:ascii="仿宋" w:hAnsi="仿宋" w:eastAsia="仿宋" w:cs="仿宋"/>
          <w:b/>
          <w:color w:val="auto"/>
          <w:sz w:val="30"/>
          <w:szCs w:val="30"/>
          <w:highlight w:val="none"/>
        </w:rPr>
        <w:t>采购</w:t>
      </w:r>
      <w:r>
        <w:rPr>
          <w:rFonts w:hint="eastAsia" w:ascii="仿宋" w:hAnsi="仿宋" w:eastAsia="仿宋" w:cs="仿宋"/>
          <w:b/>
          <w:color w:val="auto"/>
          <w:sz w:val="30"/>
          <w:szCs w:val="30"/>
          <w:highlight w:val="none"/>
          <w:lang w:val="en-US" w:eastAsia="zh-CN"/>
        </w:rPr>
        <w:t>代理</w:t>
      </w:r>
      <w:r>
        <w:rPr>
          <w:rFonts w:hint="eastAsia" w:ascii="仿宋" w:hAnsi="仿宋" w:eastAsia="仿宋" w:cs="仿宋"/>
          <w:b/>
          <w:color w:val="auto"/>
          <w:sz w:val="30"/>
          <w:szCs w:val="30"/>
          <w:highlight w:val="none"/>
        </w:rPr>
        <w:t>机构：</w:t>
      </w:r>
      <w:r>
        <w:rPr>
          <w:rFonts w:hint="eastAsia" w:ascii="仿宋" w:hAnsi="仿宋" w:eastAsia="仿宋" w:cs="仿宋"/>
          <w:b/>
          <w:color w:val="auto"/>
          <w:sz w:val="30"/>
          <w:szCs w:val="30"/>
          <w:highlight w:val="none"/>
          <w:u w:val="single"/>
        </w:rPr>
        <w:t xml:space="preserve">   </w:t>
      </w:r>
      <w:r>
        <w:rPr>
          <w:rFonts w:hint="eastAsia" w:ascii="仿宋" w:hAnsi="仿宋" w:eastAsia="仿宋" w:cs="仿宋"/>
          <w:b/>
          <w:color w:val="auto"/>
          <w:sz w:val="30"/>
          <w:szCs w:val="30"/>
          <w:highlight w:val="none"/>
          <w:u w:val="single"/>
          <w:lang w:val="en-US" w:eastAsia="zh-CN"/>
        </w:rPr>
        <w:t xml:space="preserve">      宏骏工程管理有限公司      </w:t>
      </w:r>
      <w:r>
        <w:rPr>
          <w:rFonts w:hint="eastAsia" w:ascii="仿宋" w:hAnsi="仿宋" w:eastAsia="仿宋" w:cs="仿宋"/>
          <w:b/>
          <w:color w:val="auto"/>
          <w:spacing w:val="20"/>
          <w:sz w:val="30"/>
          <w:szCs w:val="30"/>
          <w:highlight w:val="none"/>
          <w:u w:val="single"/>
          <w:lang w:val="en-US" w:eastAsia="zh-CN"/>
        </w:rPr>
        <w:t xml:space="preserve">  </w:t>
      </w:r>
      <w:r>
        <w:rPr>
          <w:rFonts w:hint="eastAsia" w:ascii="仿宋" w:hAnsi="仿宋" w:eastAsia="仿宋" w:cs="仿宋"/>
          <w:b/>
          <w:color w:val="auto"/>
          <w:spacing w:val="20"/>
          <w:sz w:val="30"/>
          <w:szCs w:val="30"/>
          <w:highlight w:val="none"/>
          <w:u w:val="single"/>
        </w:rPr>
        <w:t xml:space="preserve"> </w:t>
      </w:r>
    </w:p>
    <w:p w14:paraId="22CD2A1D">
      <w:pPr>
        <w:spacing w:line="360" w:lineRule="auto"/>
        <w:rPr>
          <w:rFonts w:ascii="宋体" w:hAnsi="宋体" w:cs="仿宋_GB2312"/>
          <w:b/>
          <w:color w:val="auto"/>
          <w:sz w:val="24"/>
          <w:highlight w:val="none"/>
          <w:u w:val="single"/>
        </w:rPr>
      </w:pPr>
    </w:p>
    <w:p w14:paraId="3F06ABF7">
      <w:pPr>
        <w:spacing w:line="360" w:lineRule="auto"/>
        <w:rPr>
          <w:rFonts w:ascii="宋体" w:hAnsi="宋体" w:cs="仿宋_GB2312"/>
          <w:color w:val="auto"/>
          <w:sz w:val="24"/>
          <w:highlight w:val="none"/>
        </w:rPr>
      </w:pPr>
    </w:p>
    <w:p w14:paraId="4B044ED0">
      <w:pPr>
        <w:spacing w:line="360" w:lineRule="auto"/>
        <w:rPr>
          <w:rFonts w:ascii="宋体" w:hAnsi="宋体" w:cs="仿宋_GB2312"/>
          <w:b/>
          <w:color w:val="auto"/>
          <w:sz w:val="24"/>
          <w:highlight w:val="none"/>
          <w:u w:val="single"/>
        </w:rPr>
      </w:pPr>
    </w:p>
    <w:p w14:paraId="397A0260">
      <w:pPr>
        <w:spacing w:line="480" w:lineRule="exact"/>
        <w:rPr>
          <w:rFonts w:ascii="宋体" w:hAnsi="宋体" w:cs="仿宋_GB2312"/>
          <w:color w:val="auto"/>
          <w:szCs w:val="21"/>
          <w:highlight w:val="none"/>
        </w:rPr>
      </w:pPr>
    </w:p>
    <w:p w14:paraId="395EFA32">
      <w:pPr>
        <w:spacing w:line="480" w:lineRule="exact"/>
        <w:rPr>
          <w:rFonts w:ascii="宋体" w:hAnsi="宋体" w:cs="仿宋_GB2312"/>
          <w:color w:val="auto"/>
          <w:szCs w:val="21"/>
          <w:highlight w:val="none"/>
        </w:rPr>
      </w:pPr>
    </w:p>
    <w:p w14:paraId="42D3256F">
      <w:pPr>
        <w:spacing w:line="480" w:lineRule="exact"/>
        <w:jc w:val="center"/>
        <w:rPr>
          <w:rFonts w:hint="eastAsia" w:ascii="黑体" w:hAnsi="黑体" w:eastAsia="黑体" w:cs="宋体"/>
          <w:b/>
          <w:color w:val="auto"/>
          <w:kern w:val="0"/>
          <w:sz w:val="32"/>
          <w:szCs w:val="32"/>
          <w:highlight w:val="none"/>
        </w:r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7 </w:t>
      </w:r>
      <w:r>
        <w:rPr>
          <w:rFonts w:hint="eastAsia" w:ascii="宋体" w:hAnsi="宋体" w:cs="仿宋_GB2312"/>
          <w:color w:val="auto"/>
          <w:sz w:val="32"/>
          <w:szCs w:val="32"/>
          <w:highlight w:val="none"/>
        </w:rPr>
        <w:t>月</w:t>
      </w:r>
    </w:p>
    <w:p w14:paraId="0C2CB5D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黑体" w:eastAsia="黑体" w:cs="宋体"/>
          <w:b/>
          <w:color w:val="auto"/>
          <w:kern w:val="0"/>
          <w:sz w:val="32"/>
          <w:szCs w:val="32"/>
          <w:highlight w:val="none"/>
        </w:rPr>
        <w:sectPr>
          <w:headerReference r:id="rId5" w:type="default"/>
          <w:footerReference r:id="rId6"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p>
    <w:p w14:paraId="0910BE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auto"/>
          <w:kern w:val="0"/>
          <w:sz w:val="36"/>
          <w:szCs w:val="36"/>
          <w:highlight w:val="none"/>
        </w:rPr>
      </w:pPr>
      <w:r>
        <w:rPr>
          <w:rFonts w:hint="eastAsia" w:ascii="宋体" w:hAnsi="宋体" w:eastAsia="宋体" w:cs="宋体"/>
          <w:b/>
          <w:bCs w:val="0"/>
          <w:color w:val="auto"/>
          <w:kern w:val="0"/>
          <w:sz w:val="36"/>
          <w:szCs w:val="36"/>
          <w:highlight w:val="none"/>
        </w:rPr>
        <w:t>重  要  提  醒</w:t>
      </w:r>
    </w:p>
    <w:p w14:paraId="0CD0EF50">
      <w:pPr>
        <w:pStyle w:val="57"/>
      </w:pPr>
    </w:p>
    <w:p w14:paraId="410A2A1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一、请各市场主体依法参与公共资源交易活动，如存在以下情形的，公共资源交易监管部门将其作为扫黑除恶专项斗争的打击重点予以处理。</w:t>
      </w:r>
    </w:p>
    <w:p w14:paraId="51761965">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1.组织、领导、实施恶意竞标、围标、串标、虚假</w:t>
      </w:r>
      <w:r>
        <w:rPr>
          <w:rFonts w:hint="eastAsia" w:ascii="宋体" w:hAnsi="宋体" w:cs="宋体"/>
          <w:b/>
          <w:color w:val="auto"/>
          <w:kern w:val="0"/>
          <w:sz w:val="24"/>
          <w:highlight w:val="none"/>
          <w:lang w:val="en-US" w:eastAsia="zh-CN"/>
        </w:rPr>
        <w:t>应标</w:t>
      </w:r>
      <w:r>
        <w:rPr>
          <w:rFonts w:hint="eastAsia" w:ascii="宋体" w:hAnsi="宋体" w:cs="宋体"/>
          <w:b/>
          <w:color w:val="auto"/>
          <w:kern w:val="0"/>
          <w:sz w:val="24"/>
          <w:highlight w:val="none"/>
        </w:rPr>
        <w:t xml:space="preserve">、挂靠、出让资质等违法活动。 </w:t>
      </w:r>
    </w:p>
    <w:p w14:paraId="1A19696E">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2.以暴力、威胁、利诱等手段强迫他人参与或者退出</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、拍卖以及强迫他人</w:t>
      </w:r>
      <w:r>
        <w:rPr>
          <w:rFonts w:hint="eastAsia" w:ascii="宋体" w:hAnsi="宋体" w:cs="宋体"/>
          <w:b/>
          <w:color w:val="auto"/>
          <w:kern w:val="0"/>
          <w:sz w:val="24"/>
          <w:highlight w:val="none"/>
          <w:lang w:val="en-US" w:eastAsia="zh-CN"/>
        </w:rPr>
        <w:t>成交</w:t>
      </w:r>
      <w:r>
        <w:rPr>
          <w:rFonts w:hint="eastAsia" w:ascii="宋体" w:hAnsi="宋体" w:cs="宋体"/>
          <w:b/>
          <w:color w:val="auto"/>
          <w:kern w:val="0"/>
          <w:sz w:val="24"/>
          <w:highlight w:val="none"/>
        </w:rPr>
        <w:t>后放弃</w:t>
      </w:r>
      <w:r>
        <w:rPr>
          <w:rFonts w:hint="eastAsia" w:ascii="宋体" w:hAnsi="宋体" w:cs="宋体"/>
          <w:b/>
          <w:color w:val="auto"/>
          <w:kern w:val="0"/>
          <w:sz w:val="24"/>
          <w:highlight w:val="none"/>
          <w:lang w:val="en-US" w:eastAsia="zh-CN"/>
        </w:rPr>
        <w:t>成交</w:t>
      </w:r>
      <w:r>
        <w:rPr>
          <w:rFonts w:hint="eastAsia" w:ascii="宋体" w:hAnsi="宋体" w:cs="宋体"/>
          <w:b/>
          <w:color w:val="auto"/>
          <w:kern w:val="0"/>
          <w:sz w:val="24"/>
          <w:highlight w:val="none"/>
        </w:rPr>
        <w:t xml:space="preserve">或转包的黑恶势力。 </w:t>
      </w:r>
    </w:p>
    <w:p w14:paraId="57A93016">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 xml:space="preserve">3.聚众围堵开、评标现场，干扰正常开评标秩序的行为。 </w:t>
      </w:r>
    </w:p>
    <w:p w14:paraId="7DDA995F">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4.在</w:t>
      </w:r>
      <w:r>
        <w:rPr>
          <w:rFonts w:hint="eastAsia" w:ascii="宋体" w:hAnsi="宋体" w:cs="宋体"/>
          <w:b/>
          <w:color w:val="auto"/>
          <w:kern w:val="0"/>
          <w:sz w:val="24"/>
          <w:highlight w:val="none"/>
          <w:lang w:val="en-US" w:eastAsia="zh-CN"/>
        </w:rPr>
        <w:t>采购活动</w:t>
      </w:r>
      <w:r>
        <w:rPr>
          <w:rFonts w:hint="eastAsia" w:ascii="宋体" w:hAnsi="宋体" w:cs="宋体"/>
          <w:b/>
          <w:color w:val="auto"/>
          <w:kern w:val="0"/>
          <w:sz w:val="24"/>
          <w:highlight w:val="none"/>
        </w:rPr>
        <w:t xml:space="preserve">过程中寻衅滋事、恶意投诉，或以投诉、信访、举报相威胁获取不正当利益的行为。 </w:t>
      </w:r>
    </w:p>
    <w:p w14:paraId="1652A241">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5.伪造资质证书、证件、提供虚假材料进行</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 xml:space="preserve">，谋取不正当利益的违法行为。 </w:t>
      </w:r>
    </w:p>
    <w:p w14:paraId="74EAD17B">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6.采取贿赂、暴力、欺骗、威胁等手段干扰破坏招投标监管、服务人员以及</w:t>
      </w:r>
      <w:r>
        <w:rPr>
          <w:rFonts w:hint="eastAsia" w:ascii="宋体" w:hAnsi="宋体" w:cs="宋体"/>
          <w:b/>
          <w:color w:val="auto"/>
          <w:kern w:val="0"/>
          <w:sz w:val="24"/>
          <w:highlight w:val="none"/>
          <w:lang w:val="en-US" w:eastAsia="zh-CN"/>
        </w:rPr>
        <w:t>谈判小组</w:t>
      </w:r>
      <w:r>
        <w:rPr>
          <w:rFonts w:hint="eastAsia" w:ascii="宋体" w:hAnsi="宋体" w:cs="宋体"/>
          <w:b/>
          <w:color w:val="auto"/>
          <w:kern w:val="0"/>
          <w:sz w:val="24"/>
          <w:highlight w:val="none"/>
        </w:rPr>
        <w:t xml:space="preserve">正常工作的黑恶势力。 </w:t>
      </w:r>
    </w:p>
    <w:p w14:paraId="39B9AAB1">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7.采取言语威胁、谈判协商、跟踪盯梢、散播隐私、造谣诽谤、持续骚扰等软暴力手段恐吓监管服务人员、</w:t>
      </w:r>
      <w:r>
        <w:rPr>
          <w:rFonts w:hint="eastAsia" w:ascii="宋体" w:hAnsi="宋体" w:cs="宋体"/>
          <w:b/>
          <w:color w:val="auto"/>
          <w:kern w:val="0"/>
          <w:sz w:val="24"/>
          <w:highlight w:val="none"/>
          <w:lang w:val="en-US" w:eastAsia="zh-CN"/>
        </w:rPr>
        <w:t>谈判小组</w:t>
      </w:r>
      <w:r>
        <w:rPr>
          <w:rFonts w:hint="eastAsia" w:ascii="宋体" w:hAnsi="宋体" w:cs="宋体"/>
          <w:b/>
          <w:color w:val="auto"/>
          <w:kern w:val="0"/>
          <w:sz w:val="24"/>
          <w:highlight w:val="none"/>
        </w:rPr>
        <w:t xml:space="preserve">及其家属的违法犯罪行为。 </w:t>
      </w:r>
    </w:p>
    <w:p w14:paraId="3E47C022">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8.利诱、欺骗采购人违反相关规定按其意图设置</w:t>
      </w:r>
      <w:r>
        <w:rPr>
          <w:rFonts w:hint="eastAsia" w:ascii="宋体" w:hAnsi="宋体" w:cs="宋体"/>
          <w:b/>
          <w:color w:val="auto"/>
          <w:kern w:val="0"/>
          <w:sz w:val="24"/>
          <w:highlight w:val="none"/>
          <w:lang w:eastAsia="zh-CN"/>
        </w:rPr>
        <w:t>谈判文件</w:t>
      </w:r>
      <w:r>
        <w:rPr>
          <w:rFonts w:hint="eastAsia" w:ascii="宋体" w:hAnsi="宋体" w:cs="宋体"/>
          <w:b/>
          <w:color w:val="auto"/>
          <w:kern w:val="0"/>
          <w:sz w:val="24"/>
          <w:highlight w:val="none"/>
        </w:rPr>
        <w:t xml:space="preserve">条款的违法违规行为。 </w:t>
      </w:r>
    </w:p>
    <w:p w14:paraId="089F8350">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9.窃取项目</w:t>
      </w:r>
      <w:r>
        <w:rPr>
          <w:rFonts w:hint="eastAsia" w:ascii="宋体" w:hAnsi="宋体" w:cs="宋体"/>
          <w:b/>
          <w:color w:val="auto"/>
          <w:kern w:val="0"/>
          <w:sz w:val="24"/>
          <w:highlight w:val="none"/>
          <w:lang w:eastAsia="zh-CN"/>
        </w:rPr>
        <w:t>响应人</w:t>
      </w:r>
      <w:r>
        <w:rPr>
          <w:rFonts w:hint="eastAsia" w:ascii="宋体" w:hAnsi="宋体" w:cs="宋体"/>
          <w:b/>
          <w:color w:val="auto"/>
          <w:kern w:val="0"/>
          <w:sz w:val="24"/>
          <w:highlight w:val="none"/>
        </w:rPr>
        <w:t>报名情况、</w:t>
      </w:r>
      <w:r>
        <w:rPr>
          <w:rFonts w:hint="eastAsia" w:ascii="宋体" w:hAnsi="宋体" w:cs="宋体"/>
          <w:b/>
          <w:color w:val="auto"/>
          <w:kern w:val="0"/>
          <w:sz w:val="24"/>
          <w:highlight w:val="none"/>
          <w:lang w:val="en-US" w:eastAsia="zh-CN"/>
        </w:rPr>
        <w:t>谈判小组成员</w:t>
      </w:r>
      <w:r>
        <w:rPr>
          <w:rFonts w:hint="eastAsia" w:ascii="宋体" w:hAnsi="宋体" w:cs="宋体"/>
          <w:b/>
          <w:color w:val="auto"/>
          <w:kern w:val="0"/>
          <w:sz w:val="24"/>
          <w:highlight w:val="none"/>
        </w:rPr>
        <w:t xml:space="preserve">等保密信息。 </w:t>
      </w:r>
    </w:p>
    <w:p w14:paraId="792F2A69">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10.领导干部违反规定插手干预项目</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 xml:space="preserve">活动。 </w:t>
      </w:r>
    </w:p>
    <w:p w14:paraId="286F0EC0">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11.干部职工在</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活动中与黑恶势力勾结，充当保护伞。</w:t>
      </w:r>
    </w:p>
    <w:p w14:paraId="6B70AED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二、请各响应人认真阅读</w:t>
      </w:r>
      <w:r>
        <w:rPr>
          <w:rFonts w:hint="eastAsia" w:ascii="宋体" w:hAnsi="宋体" w:cs="宋体"/>
          <w:b/>
          <w:color w:val="auto"/>
          <w:kern w:val="0"/>
          <w:sz w:val="24"/>
          <w:szCs w:val="24"/>
          <w:highlight w:val="none"/>
          <w:lang w:val="en-US" w:eastAsia="zh-CN"/>
        </w:rPr>
        <w:t>竞争性谈判</w:t>
      </w:r>
      <w:r>
        <w:rPr>
          <w:rFonts w:hint="eastAsia" w:ascii="宋体" w:hAnsi="宋体" w:cs="宋体"/>
          <w:b/>
          <w:color w:val="auto"/>
          <w:kern w:val="0"/>
          <w:sz w:val="24"/>
          <w:szCs w:val="24"/>
          <w:highlight w:val="none"/>
        </w:rPr>
        <w:t>文件，对下述事项予以重视：</w:t>
      </w:r>
    </w:p>
    <w:p w14:paraId="18B9691F">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w:t>
      </w:r>
      <w:r>
        <w:rPr>
          <w:rFonts w:hint="eastAsia" w:ascii="宋体" w:hAnsi="宋体" w:cs="宋体"/>
          <w:b/>
          <w:color w:val="auto"/>
          <w:kern w:val="0"/>
          <w:sz w:val="24"/>
          <w:highlight w:val="none"/>
          <w:lang w:val="en-US" w:eastAsia="zh-CN"/>
        </w:rPr>
        <w:t>.</w:t>
      </w:r>
      <w:r>
        <w:rPr>
          <w:rFonts w:hint="eastAsia" w:ascii="宋体" w:hAnsi="宋体" w:cs="宋体"/>
          <w:b/>
          <w:color w:val="auto"/>
          <w:kern w:val="0"/>
          <w:sz w:val="24"/>
          <w:highlight w:val="none"/>
        </w:rPr>
        <w:t>请依据项目资格要求，自行核对营业执照合法有效。</w:t>
      </w:r>
    </w:p>
    <w:p w14:paraId="4C193521">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2</w:t>
      </w:r>
      <w:r>
        <w:rPr>
          <w:rFonts w:hint="eastAsia" w:ascii="宋体" w:hAnsi="宋体" w:cs="宋体"/>
          <w:b/>
          <w:color w:val="auto"/>
          <w:kern w:val="0"/>
          <w:sz w:val="24"/>
          <w:highlight w:val="none"/>
          <w:lang w:eastAsia="zh-CN"/>
        </w:rPr>
        <w:t>.</w:t>
      </w:r>
      <w:r>
        <w:rPr>
          <w:rFonts w:hint="eastAsia" w:ascii="宋体" w:hAnsi="宋体" w:cs="宋体"/>
          <w:b/>
          <w:color w:val="auto"/>
          <w:kern w:val="0"/>
          <w:sz w:val="24"/>
          <w:highlight w:val="none"/>
        </w:rPr>
        <w:t>按照</w:t>
      </w:r>
      <w:r>
        <w:rPr>
          <w:rFonts w:hint="eastAsia" w:ascii="宋体" w:hAnsi="宋体" w:cs="宋体"/>
          <w:b/>
          <w:color w:val="auto"/>
          <w:kern w:val="0"/>
          <w:sz w:val="24"/>
          <w:highlight w:val="none"/>
          <w:lang w:val="en-US" w:eastAsia="zh-CN"/>
        </w:rPr>
        <w:t>竞争性谈判</w:t>
      </w:r>
      <w:r>
        <w:rPr>
          <w:rFonts w:hint="eastAsia" w:ascii="宋体" w:hAnsi="宋体" w:cs="宋体"/>
          <w:b/>
          <w:color w:val="auto"/>
          <w:kern w:val="0"/>
          <w:sz w:val="24"/>
          <w:highlight w:val="none"/>
        </w:rPr>
        <w:t>文件要求制作响应文件。</w:t>
      </w:r>
    </w:p>
    <w:p w14:paraId="65B8899B">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3</w:t>
      </w:r>
      <w:r>
        <w:rPr>
          <w:rFonts w:hint="eastAsia" w:ascii="宋体" w:hAnsi="宋体" w:cs="宋体"/>
          <w:b/>
          <w:color w:val="auto"/>
          <w:kern w:val="0"/>
          <w:sz w:val="24"/>
          <w:highlight w:val="none"/>
          <w:lang w:eastAsia="zh-CN"/>
        </w:rPr>
        <w:t>.</w:t>
      </w:r>
      <w:r>
        <w:rPr>
          <w:rFonts w:hint="eastAsia" w:ascii="宋体" w:hAnsi="宋体" w:cs="宋体"/>
          <w:b/>
          <w:color w:val="auto"/>
          <w:kern w:val="0"/>
          <w:sz w:val="24"/>
          <w:highlight w:val="none"/>
        </w:rPr>
        <w:t>对</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 xml:space="preserve">活动中可能发生的质疑、投诉行为，须依法在规定的时间内提出。  </w:t>
      </w:r>
    </w:p>
    <w:p w14:paraId="29A71C63">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4</w:t>
      </w:r>
      <w:r>
        <w:rPr>
          <w:rFonts w:hint="eastAsia" w:ascii="宋体" w:hAnsi="宋体" w:cs="宋体"/>
          <w:b/>
          <w:color w:val="auto"/>
          <w:kern w:val="0"/>
          <w:sz w:val="24"/>
          <w:highlight w:val="none"/>
          <w:lang w:eastAsia="zh-CN"/>
        </w:rPr>
        <w:t>.</w:t>
      </w:r>
      <w:r>
        <w:rPr>
          <w:rFonts w:hint="eastAsia" w:ascii="宋体" w:hAnsi="宋体" w:cs="宋体"/>
          <w:b/>
          <w:color w:val="auto"/>
          <w:kern w:val="0"/>
          <w:sz w:val="24"/>
          <w:highlight w:val="none"/>
        </w:rPr>
        <w:t>本项目</w:t>
      </w:r>
      <w:r>
        <w:rPr>
          <w:rFonts w:hint="eastAsia" w:ascii="宋体" w:hAnsi="宋体" w:cs="宋体"/>
          <w:b/>
          <w:color w:val="auto"/>
          <w:kern w:val="0"/>
          <w:sz w:val="24"/>
          <w:highlight w:val="none"/>
          <w:lang w:eastAsia="zh-CN"/>
        </w:rPr>
        <w:t>谈判</w:t>
      </w:r>
      <w:r>
        <w:rPr>
          <w:rFonts w:hint="eastAsia" w:ascii="宋体" w:hAnsi="宋体" w:cs="宋体"/>
          <w:b/>
          <w:color w:val="auto"/>
          <w:kern w:val="0"/>
          <w:sz w:val="24"/>
          <w:highlight w:val="none"/>
        </w:rPr>
        <w:t>期间，供应商必须保证联系电话、电子邮箱通畅，因供应商通讯不畅造成的不利后果由供应商自行承担。</w:t>
      </w:r>
    </w:p>
    <w:p w14:paraId="31037FE9">
      <w:pPr>
        <w:widowControl/>
        <w:jc w:val="left"/>
        <w:rPr>
          <w:rFonts w:ascii="宋体" w:hAnsi="宋体" w:cs="宋体"/>
          <w:b/>
          <w:color w:val="auto"/>
          <w:sz w:val="36"/>
          <w:szCs w:val="36"/>
          <w:highlight w:val="none"/>
          <w:lang w:val="zh-CN"/>
        </w:rPr>
      </w:pPr>
      <w:r>
        <w:rPr>
          <w:rFonts w:ascii="宋体" w:hAnsi="宋体" w:cs="宋体"/>
          <w:b/>
          <w:color w:val="auto"/>
          <w:sz w:val="36"/>
          <w:szCs w:val="36"/>
          <w:highlight w:val="none"/>
          <w:lang w:val="zh-CN"/>
        </w:rPr>
        <w:br w:type="page"/>
      </w: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2"/>
        <w:rPr>
          <w:color w:val="auto"/>
          <w:highlight w:val="none"/>
          <w:lang w:val="zh-CN"/>
        </w:rPr>
      </w:pPr>
    </w:p>
    <w:p w14:paraId="6F456B90">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rPr>
      </w:pPr>
      <w:bookmarkStart w:id="0" w:name="_Toc21464"/>
      <w:bookmarkStart w:id="1" w:name="_Toc54941328"/>
      <w:bookmarkStart w:id="2" w:name="_Toc23467"/>
      <w:bookmarkStart w:id="3" w:name="_Toc439316870"/>
      <w:r>
        <w:rPr>
          <w:rFonts w:hint="eastAsia" w:asciiTheme="majorEastAsia" w:hAnsiTheme="majorEastAsia" w:eastAsiaTheme="majorEastAsia" w:cstheme="majorEastAsia"/>
          <w:b/>
          <w:bCs/>
          <w:color w:val="auto"/>
          <w:sz w:val="40"/>
          <w:szCs w:val="40"/>
          <w:highlight w:val="none"/>
        </w:rPr>
        <w:fldChar w:fldCharType="begin"/>
      </w:r>
      <w:r>
        <w:rPr>
          <w:rFonts w:hint="eastAsia" w:asciiTheme="majorEastAsia" w:hAnsiTheme="majorEastAsia" w:eastAsiaTheme="majorEastAsia" w:cstheme="majorEastAsia"/>
          <w:b/>
          <w:bCs/>
          <w:color w:val="auto"/>
          <w:sz w:val="40"/>
          <w:szCs w:val="40"/>
          <w:highlight w:val="none"/>
        </w:rPr>
        <w:instrText xml:space="preserve">TOC \o "1-1" \h \u </w:instrText>
      </w:r>
      <w:r>
        <w:rPr>
          <w:rFonts w:hint="eastAsia" w:asciiTheme="majorEastAsia" w:hAnsiTheme="majorEastAsia" w:eastAsiaTheme="majorEastAsia" w:cstheme="majorEastAsia"/>
          <w:b/>
          <w:bCs/>
          <w:color w:val="auto"/>
          <w:sz w:val="40"/>
          <w:szCs w:val="40"/>
          <w:highlight w:val="none"/>
        </w:rPr>
        <w:fldChar w:fldCharType="separate"/>
      </w: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_Toc7432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i w:val="0"/>
          <w:iCs/>
          <w:color w:val="auto"/>
          <w:sz w:val="28"/>
          <w:szCs w:val="44"/>
          <w:highlight w:val="none"/>
        </w:rPr>
        <w:t xml:space="preserve">第一章  </w:t>
      </w:r>
      <w:r>
        <w:rPr>
          <w:rFonts w:hint="eastAsia" w:asciiTheme="majorEastAsia" w:hAnsiTheme="majorEastAsia" w:eastAsiaTheme="majorEastAsia" w:cstheme="majorEastAsia"/>
          <w:b/>
          <w:bCs/>
          <w:i w:val="0"/>
          <w:iCs/>
          <w:color w:val="auto"/>
          <w:sz w:val="28"/>
          <w:szCs w:val="44"/>
          <w:highlight w:val="none"/>
          <w:lang w:val="en-US" w:eastAsia="zh-CN"/>
        </w:rPr>
        <w:t>谈判邀请</w:t>
      </w:r>
      <w:r>
        <w:rPr>
          <w:rFonts w:hint="eastAsia" w:asciiTheme="majorEastAsia" w:hAnsiTheme="majorEastAsia" w:eastAsiaTheme="majorEastAsia" w:cstheme="majorEastAsia"/>
          <w:b/>
          <w:bCs/>
          <w:color w:val="auto"/>
          <w:sz w:val="28"/>
          <w:szCs w:val="24"/>
          <w:highlight w:val="none"/>
          <w:lang w:val="en-US" w:eastAsia="zh-CN"/>
        </w:rPr>
        <w:t>...............................................</w:t>
      </w:r>
      <w:r>
        <w:rPr>
          <w:rFonts w:hint="eastAsia" w:asciiTheme="majorEastAsia" w:hAnsiTheme="majorEastAsia" w:eastAsiaTheme="majorEastAsia" w:cstheme="majorEastAsia"/>
          <w:b/>
          <w:bCs/>
          <w:color w:val="auto"/>
          <w:sz w:val="28"/>
          <w:szCs w:val="24"/>
          <w:highlight w:val="none"/>
        </w:rPr>
        <w:fldChar w:fldCharType="begin"/>
      </w:r>
      <w:r>
        <w:rPr>
          <w:rFonts w:hint="eastAsia" w:asciiTheme="majorEastAsia" w:hAnsiTheme="majorEastAsia" w:eastAsiaTheme="majorEastAsia" w:cstheme="majorEastAsia"/>
          <w:b/>
          <w:bCs/>
          <w:color w:val="auto"/>
          <w:sz w:val="28"/>
          <w:szCs w:val="24"/>
          <w:highlight w:val="none"/>
        </w:rPr>
        <w:instrText xml:space="preserve"> PAGEREF _Toc7432 \h </w:instrText>
      </w:r>
      <w:r>
        <w:rPr>
          <w:rFonts w:hint="eastAsia" w:asciiTheme="majorEastAsia" w:hAnsiTheme="majorEastAsia" w:eastAsiaTheme="majorEastAsia" w:cstheme="majorEastAsia"/>
          <w:b/>
          <w:bCs/>
          <w:color w:val="auto"/>
          <w:sz w:val="28"/>
          <w:szCs w:val="24"/>
          <w:highlight w:val="none"/>
        </w:rPr>
        <w:fldChar w:fldCharType="separate"/>
      </w:r>
      <w:r>
        <w:rPr>
          <w:rFonts w:hint="eastAsia" w:asciiTheme="majorEastAsia" w:hAnsiTheme="majorEastAsia" w:eastAsiaTheme="majorEastAsia" w:cstheme="majorEastAsia"/>
          <w:b/>
          <w:bCs/>
          <w:color w:val="auto"/>
          <w:sz w:val="28"/>
          <w:szCs w:val="24"/>
          <w:highlight w:val="none"/>
        </w:rPr>
        <w:t>3</w:t>
      </w:r>
      <w:r>
        <w:rPr>
          <w:rFonts w:hint="eastAsia" w:asciiTheme="majorEastAsia" w:hAnsiTheme="majorEastAsia" w:eastAsiaTheme="majorEastAsia" w:cstheme="majorEastAsia"/>
          <w:b/>
          <w:bCs/>
          <w:color w:val="auto"/>
          <w:sz w:val="28"/>
          <w:szCs w:val="24"/>
          <w:highlight w:val="none"/>
        </w:rPr>
        <w:fldChar w:fldCharType="end"/>
      </w:r>
      <w:r>
        <w:rPr>
          <w:rFonts w:hint="eastAsia" w:asciiTheme="majorEastAsia" w:hAnsiTheme="majorEastAsia" w:eastAsiaTheme="majorEastAsia" w:cstheme="majorEastAsia"/>
          <w:b/>
          <w:bCs/>
          <w:color w:val="auto"/>
          <w:sz w:val="28"/>
          <w:szCs w:val="40"/>
          <w:highlight w:val="none"/>
        </w:rPr>
        <w:fldChar w:fldCharType="end"/>
      </w:r>
    </w:p>
    <w:p w14:paraId="25820FA5">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_Toc11266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rPr>
        <w:t xml:space="preserve">第二章  </w:t>
      </w:r>
      <w:r>
        <w:rPr>
          <w:rFonts w:hint="eastAsia" w:asciiTheme="majorEastAsia" w:hAnsiTheme="majorEastAsia" w:eastAsiaTheme="majorEastAsia" w:cstheme="majorEastAsia"/>
          <w:b/>
          <w:bCs/>
          <w:color w:val="auto"/>
          <w:kern w:val="2"/>
          <w:sz w:val="28"/>
          <w:szCs w:val="44"/>
          <w:highlight w:val="none"/>
          <w:lang w:val="en-US" w:eastAsia="zh-CN"/>
        </w:rPr>
        <w:t>供应商</w:t>
      </w:r>
      <w:r>
        <w:rPr>
          <w:rFonts w:hint="eastAsia" w:asciiTheme="majorEastAsia" w:hAnsiTheme="majorEastAsia" w:eastAsiaTheme="majorEastAsia" w:cstheme="majorEastAsia"/>
          <w:b/>
          <w:bCs/>
          <w:color w:val="auto"/>
          <w:kern w:val="2"/>
          <w:sz w:val="28"/>
          <w:szCs w:val="44"/>
          <w:highlight w:val="none"/>
        </w:rPr>
        <w:t>须知</w:t>
      </w:r>
      <w:r>
        <w:rPr>
          <w:rFonts w:hint="eastAsia" w:asciiTheme="majorEastAsia" w:hAnsiTheme="majorEastAsia" w:eastAsiaTheme="majorEastAsia" w:cstheme="majorEastAsia"/>
          <w:b/>
          <w:bCs/>
          <w:color w:val="auto"/>
          <w:kern w:val="2"/>
          <w:sz w:val="28"/>
          <w:szCs w:val="44"/>
          <w:highlight w:val="none"/>
          <w:lang w:val="en-US" w:eastAsia="zh-CN"/>
        </w:rPr>
        <w:t>.............................................</w:t>
      </w:r>
      <w:r>
        <w:rPr>
          <w:rFonts w:hint="eastAsia" w:asciiTheme="majorEastAsia" w:hAnsiTheme="majorEastAsia" w:eastAsiaTheme="majorEastAsia" w:cstheme="majorEastAsia"/>
          <w:b/>
          <w:bCs/>
          <w:color w:val="auto"/>
          <w:sz w:val="28"/>
          <w:szCs w:val="24"/>
          <w:highlight w:val="none"/>
          <w:lang w:val="en-US" w:eastAsia="zh-CN"/>
        </w:rPr>
        <w:t>7</w:t>
      </w:r>
      <w:r>
        <w:rPr>
          <w:rFonts w:hint="eastAsia" w:asciiTheme="majorEastAsia" w:hAnsiTheme="majorEastAsia" w:eastAsiaTheme="majorEastAsia" w:cstheme="majorEastAsia"/>
          <w:b/>
          <w:bCs/>
          <w:color w:val="auto"/>
          <w:sz w:val="28"/>
          <w:szCs w:val="40"/>
          <w:highlight w:val="none"/>
        </w:rPr>
        <w:fldChar w:fldCharType="end"/>
      </w:r>
    </w:p>
    <w:p w14:paraId="4473F23C">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_Toc12353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lang w:val="en-US" w:eastAsia="zh-CN"/>
        </w:rPr>
        <w:t xml:space="preserve">第三章  </w:t>
      </w:r>
      <w:r>
        <w:rPr>
          <w:rFonts w:hint="eastAsia" w:asciiTheme="majorEastAsia" w:hAnsiTheme="majorEastAsia" w:eastAsiaTheme="majorEastAsia" w:cstheme="majorEastAsia"/>
          <w:b/>
          <w:bCs/>
          <w:color w:val="auto"/>
          <w:sz w:val="28"/>
          <w:szCs w:val="40"/>
          <w:highlight w:val="none"/>
          <w:lang w:val="en-US" w:eastAsia="zh-CN"/>
        </w:rPr>
        <w:t>采购需求</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...1</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5</w:t>
      </w:r>
    </w:p>
    <w:p w14:paraId="4DE78E20">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_Toc16371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lang w:val="en-US" w:eastAsia="zh-CN"/>
        </w:rPr>
        <w:t>第四章  评</w:t>
      </w:r>
      <w:r>
        <w:rPr>
          <w:rFonts w:hint="eastAsia" w:asciiTheme="majorEastAsia" w:hAnsiTheme="majorEastAsia" w:eastAsiaTheme="majorEastAsia" w:cstheme="majorEastAsia"/>
          <w:b/>
          <w:bCs/>
          <w:strike w:val="0"/>
          <w:dstrike w:val="0"/>
          <w:color w:val="auto"/>
          <w:kern w:val="2"/>
          <w:sz w:val="28"/>
          <w:szCs w:val="44"/>
          <w:highlight w:val="none"/>
          <w:lang w:val="en-US" w:eastAsia="zh-CN"/>
        </w:rPr>
        <w:t>审方</w:t>
      </w:r>
      <w:r>
        <w:rPr>
          <w:rFonts w:hint="eastAsia" w:asciiTheme="majorEastAsia" w:hAnsiTheme="majorEastAsia" w:eastAsiaTheme="majorEastAsia" w:cstheme="majorEastAsia"/>
          <w:b/>
          <w:bCs/>
          <w:color w:val="auto"/>
          <w:kern w:val="2"/>
          <w:sz w:val="28"/>
          <w:szCs w:val="44"/>
          <w:highlight w:val="none"/>
          <w:lang w:val="en-US" w:eastAsia="zh-CN"/>
        </w:rPr>
        <w:t>法与标准</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19</w:t>
      </w:r>
    </w:p>
    <w:p w14:paraId="7143EA37">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_Toc27586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sz w:val="28"/>
          <w:szCs w:val="24"/>
          <w:highlight w:val="none"/>
          <w:lang w:val="en-US" w:eastAsia="zh-CN"/>
        </w:rPr>
        <w:t xml:space="preserve">第五章  </w:t>
      </w:r>
      <w:r>
        <w:rPr>
          <w:rFonts w:hint="eastAsia" w:asciiTheme="majorEastAsia" w:hAnsiTheme="majorEastAsia" w:eastAsiaTheme="majorEastAsia" w:cstheme="majorEastAsia"/>
          <w:b/>
          <w:bCs/>
          <w:color w:val="auto"/>
          <w:sz w:val="28"/>
          <w:szCs w:val="24"/>
          <w:highlight w:val="none"/>
        </w:rPr>
        <w:t>政府采购合同主要条款</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2</w:t>
      </w:r>
    </w:p>
    <w:p w14:paraId="1B92A2FD">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_Toc1812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8"/>
          <w:highlight w:val="none"/>
          <w:lang w:val="zh-CN"/>
        </w:rPr>
        <w:t>第</w:t>
      </w:r>
      <w:r>
        <w:rPr>
          <w:rFonts w:hint="eastAsia" w:asciiTheme="majorEastAsia" w:hAnsiTheme="majorEastAsia" w:eastAsiaTheme="majorEastAsia" w:cstheme="majorEastAsia"/>
          <w:b/>
          <w:bCs/>
          <w:color w:val="auto"/>
          <w:kern w:val="2"/>
          <w:sz w:val="28"/>
          <w:szCs w:val="48"/>
          <w:highlight w:val="none"/>
          <w:lang w:val="en-US" w:eastAsia="zh-CN"/>
        </w:rPr>
        <w:t>六</w:t>
      </w:r>
      <w:r>
        <w:rPr>
          <w:rFonts w:hint="eastAsia" w:asciiTheme="majorEastAsia" w:hAnsiTheme="majorEastAsia" w:eastAsiaTheme="majorEastAsia" w:cstheme="majorEastAsia"/>
          <w:b/>
          <w:bCs/>
          <w:color w:val="auto"/>
          <w:kern w:val="2"/>
          <w:sz w:val="28"/>
          <w:szCs w:val="48"/>
          <w:highlight w:val="none"/>
          <w:lang w:val="zh-CN"/>
        </w:rPr>
        <w:t xml:space="preserve">章  </w:t>
      </w:r>
      <w:r>
        <w:rPr>
          <w:rFonts w:hint="eastAsia" w:asciiTheme="majorEastAsia" w:hAnsiTheme="majorEastAsia" w:eastAsiaTheme="majorEastAsia" w:cstheme="majorEastAsia"/>
          <w:b/>
          <w:bCs/>
          <w:color w:val="auto"/>
          <w:kern w:val="2"/>
          <w:sz w:val="28"/>
          <w:szCs w:val="48"/>
          <w:highlight w:val="none"/>
        </w:rPr>
        <w:t>响应文件格式</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27</w:t>
      </w:r>
      <w:r>
        <w:rPr>
          <w:rFonts w:hint="eastAsia" w:asciiTheme="majorEastAsia" w:hAnsiTheme="majorEastAsia" w:eastAsiaTheme="majorEastAsia" w:cstheme="majorEastAsia"/>
          <w:b/>
          <w:bCs/>
          <w:color w:val="auto"/>
          <w:sz w:val="28"/>
          <w:szCs w:val="40"/>
          <w:highlight w:val="none"/>
        </w:rPr>
        <w:fldChar w:fldCharType="end"/>
      </w:r>
    </w:p>
    <w:p w14:paraId="78B5310B">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_Toc2700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sz w:val="28"/>
          <w:szCs w:val="24"/>
          <w:highlight w:val="none"/>
          <w:lang w:val="en-US" w:eastAsia="zh-CN"/>
        </w:rPr>
        <w:t>第七章  政府采购供应商询问函和质疑函范本</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.3</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7</w:t>
      </w:r>
    </w:p>
    <w:p w14:paraId="3353468B">
      <w:pPr>
        <w:pStyle w:val="20"/>
        <w:tabs>
          <w:tab w:val="right" w:leader="dot" w:pos="9060"/>
        </w:tabs>
        <w:spacing w:line="360" w:lineRule="auto"/>
        <w:rPr>
          <w:color w:val="auto"/>
          <w:szCs w:val="21"/>
          <w:highlight w:val="none"/>
        </w:rPr>
        <w:sectPr>
          <w:headerReference r:id="rId7" w:type="default"/>
          <w:footerReference r:id="rId8"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rFonts w:hint="eastAsia" w:asciiTheme="majorEastAsia" w:hAnsiTheme="majorEastAsia" w:eastAsiaTheme="majorEastAsia" w:cstheme="majorEastAsia"/>
          <w:b/>
          <w:bCs/>
          <w:color w:val="auto"/>
          <w:sz w:val="28"/>
          <w:szCs w:val="40"/>
          <w:highlight w:val="none"/>
        </w:rPr>
        <w:fldChar w:fldCharType="end"/>
      </w:r>
      <w:bookmarkStart w:id="4" w:name="_Toc7432"/>
    </w:p>
    <w:p w14:paraId="35D3DCA8">
      <w:pPr>
        <w:pStyle w:val="3"/>
        <w:tabs>
          <w:tab w:val="left" w:pos="1440"/>
          <w:tab w:val="left" w:pos="5670"/>
        </w:tabs>
        <w:spacing w:before="62" w:beforeLines="20" w:after="0" w:afterAutospacing="0" w:line="480" w:lineRule="exact"/>
        <w:ind w:firstLine="0" w:firstLineChars="0"/>
        <w:jc w:val="center"/>
        <w:rPr>
          <w:rFonts w:hint="eastAsia" w:ascii="宋体" w:hAnsi="宋体" w:eastAsia="宋体" w:cs="宋体"/>
          <w:b/>
          <w:bCs/>
          <w:color w:val="auto"/>
          <w:kern w:val="2"/>
          <w:sz w:val="36"/>
          <w:szCs w:val="36"/>
          <w:highlight w:val="none"/>
          <w:lang w:eastAsia="zh-CN"/>
        </w:rPr>
      </w:pPr>
      <w:r>
        <w:rPr>
          <w:rFonts w:hint="eastAsia" w:ascii="宋体" w:hAnsi="宋体" w:eastAsia="宋体" w:cs="宋体"/>
          <w:b/>
          <w:bCs/>
          <w:color w:val="auto"/>
          <w:kern w:val="2"/>
          <w:sz w:val="36"/>
          <w:szCs w:val="36"/>
          <w:highlight w:val="none"/>
        </w:rPr>
        <w:t xml:space="preserve">第一章   </w:t>
      </w:r>
      <w:bookmarkEnd w:id="0"/>
      <w:bookmarkEnd w:id="1"/>
      <w:bookmarkEnd w:id="2"/>
      <w:bookmarkEnd w:id="4"/>
      <w:r>
        <w:rPr>
          <w:rFonts w:hint="eastAsia" w:ascii="宋体" w:hAnsi="宋体" w:eastAsia="宋体" w:cs="宋体"/>
          <w:b/>
          <w:bCs/>
          <w:color w:val="auto"/>
          <w:kern w:val="2"/>
          <w:sz w:val="36"/>
          <w:szCs w:val="36"/>
          <w:highlight w:val="none"/>
          <w:lang w:val="en-US" w:eastAsia="zh-CN"/>
        </w:rPr>
        <w:t>谈判邀请</w:t>
      </w:r>
    </w:p>
    <w:p w14:paraId="3AC5A1B1">
      <w:pPr>
        <w:keepNext w:val="0"/>
        <w:keepLines w:val="0"/>
        <w:pageBreakBefore w:val="0"/>
        <w:kinsoku/>
        <w:wordWrap/>
        <w:overflowPunct/>
        <w:topLinePunct w:val="0"/>
        <w:autoSpaceDE/>
        <w:autoSpaceDN/>
        <w:bidi w:val="0"/>
        <w:snapToGrid/>
        <w:spacing w:line="640" w:lineRule="exact"/>
        <w:ind w:firstLine="560" w:firstLineChars="200"/>
        <w:textAlignment w:val="auto"/>
        <w:rPr>
          <w:rFonts w:ascii="黑体" w:hAnsi="黑体" w:eastAsia="黑体" w:cs="宋体"/>
          <w:bCs/>
          <w:color w:val="auto"/>
          <w:sz w:val="28"/>
          <w:szCs w:val="28"/>
          <w:highlight w:val="none"/>
        </w:rPr>
      </w:pPr>
      <w:bookmarkStart w:id="5" w:name="_Toc28359012"/>
      <w:bookmarkStart w:id="6" w:name="_Toc35393629"/>
      <w:bookmarkStart w:id="7" w:name="_Toc35393798"/>
      <w:bookmarkStart w:id="8" w:name="_Toc28359089"/>
      <w:bookmarkStart w:id="9" w:name="OLE_LINK7"/>
      <w:bookmarkStart w:id="10" w:name="OLE_LINK1"/>
      <w:r>
        <w:rPr>
          <w:rFonts w:hint="eastAsia" w:ascii="黑体" w:hAnsi="黑体" w:eastAsia="黑体" w:cs="宋体"/>
          <w:bCs/>
          <w:color w:val="auto"/>
          <w:sz w:val="28"/>
          <w:szCs w:val="28"/>
          <w:highlight w:val="none"/>
        </w:rPr>
        <w:t>一、项目基本情况</w:t>
      </w:r>
      <w:bookmarkEnd w:id="5"/>
      <w:bookmarkEnd w:id="6"/>
      <w:bookmarkEnd w:id="7"/>
      <w:bookmarkEnd w:id="8"/>
    </w:p>
    <w:p w14:paraId="4B10E5F5">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val="en-US" w:eastAsia="zh-CN"/>
        </w:rPr>
        <w:t>1.</w:t>
      </w:r>
      <w:r>
        <w:rPr>
          <w:rFonts w:hint="eastAsia" w:ascii="仿宋" w:hAnsi="仿宋" w:eastAsia="仿宋" w:cs="Times New Roman"/>
          <w:color w:val="auto"/>
          <w:sz w:val="28"/>
          <w:szCs w:val="28"/>
          <w:highlight w:val="none"/>
          <w:lang w:eastAsia="zh-CN"/>
        </w:rPr>
        <w:t>项目编号：</w:t>
      </w:r>
      <w:r>
        <w:rPr>
          <w:rFonts w:hint="eastAsia" w:ascii="仿宋" w:hAnsi="仿宋" w:eastAsia="仿宋" w:cs="Times New Roman"/>
          <w:color w:val="auto"/>
          <w:sz w:val="28"/>
          <w:szCs w:val="28"/>
          <w:highlight w:val="none"/>
          <w:u w:val="single"/>
          <w:lang w:eastAsia="zh-CN"/>
        </w:rPr>
        <w:t>TCSZCG(202</w:t>
      </w:r>
      <w:r>
        <w:rPr>
          <w:rFonts w:hint="eastAsia" w:ascii="仿宋" w:hAnsi="仿宋" w:eastAsia="仿宋" w:cs="Times New Roman"/>
          <w:color w:val="auto"/>
          <w:sz w:val="28"/>
          <w:szCs w:val="28"/>
          <w:highlight w:val="none"/>
          <w:u w:val="single"/>
          <w:lang w:val="en-US" w:eastAsia="zh-CN"/>
        </w:rPr>
        <w:t>6</w:t>
      </w:r>
      <w:r>
        <w:rPr>
          <w:rFonts w:hint="eastAsia" w:ascii="仿宋" w:hAnsi="仿宋" w:eastAsia="仿宋" w:cs="Times New Roman"/>
          <w:color w:val="auto"/>
          <w:sz w:val="28"/>
          <w:szCs w:val="28"/>
          <w:highlight w:val="none"/>
          <w:u w:val="single"/>
          <w:lang w:eastAsia="zh-CN"/>
        </w:rPr>
        <w:t xml:space="preserve">) </w:t>
      </w:r>
      <w:r>
        <w:rPr>
          <w:rFonts w:hint="eastAsia" w:ascii="仿宋" w:hAnsi="仿宋" w:eastAsia="仿宋" w:cs="Times New Roman"/>
          <w:color w:val="auto"/>
          <w:sz w:val="28"/>
          <w:szCs w:val="28"/>
          <w:highlight w:val="none"/>
          <w:u w:val="single"/>
          <w:lang w:val="en-US" w:eastAsia="zh-CN"/>
        </w:rPr>
        <w:t>011</w:t>
      </w:r>
      <w:r>
        <w:rPr>
          <w:rFonts w:hint="eastAsia" w:ascii="仿宋" w:hAnsi="仿宋" w:eastAsia="仿宋" w:cs="Times New Roman"/>
          <w:color w:val="auto"/>
          <w:sz w:val="28"/>
          <w:szCs w:val="28"/>
          <w:highlight w:val="none"/>
          <w:u w:val="single"/>
          <w:lang w:eastAsia="zh-CN"/>
        </w:rPr>
        <w:t>号</w:t>
      </w:r>
    </w:p>
    <w:p w14:paraId="1D10FA41">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w:t>
      </w:r>
      <w:r>
        <w:rPr>
          <w:rFonts w:hint="eastAsia" w:ascii="仿宋" w:hAnsi="仿宋" w:eastAsia="仿宋" w:cs="Times New Roman"/>
          <w:color w:val="auto"/>
          <w:sz w:val="28"/>
          <w:szCs w:val="28"/>
          <w:highlight w:val="none"/>
          <w:lang w:eastAsia="zh-CN"/>
        </w:rPr>
        <w:t>项目名称：</w:t>
      </w:r>
      <w:r>
        <w:rPr>
          <w:rFonts w:hint="eastAsia" w:ascii="仿宋" w:hAnsi="仿宋" w:eastAsia="仿宋" w:cs="Times New Roman"/>
          <w:color w:val="auto"/>
          <w:sz w:val="28"/>
          <w:szCs w:val="28"/>
          <w:highlight w:val="none"/>
          <w:u w:val="single"/>
          <w:lang w:val="en-US" w:eastAsia="zh-CN"/>
        </w:rPr>
        <w:t>桐城师范高等专科学校2026年军训服装采购项目</w:t>
      </w:r>
    </w:p>
    <w:p w14:paraId="3303F1D7">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预算金额：</w:t>
      </w:r>
      <w:r>
        <w:rPr>
          <w:rFonts w:hint="eastAsia" w:ascii="仿宋" w:hAnsi="仿宋" w:eastAsia="仿宋"/>
          <w:color w:val="auto"/>
          <w:sz w:val="28"/>
          <w:szCs w:val="28"/>
          <w:highlight w:val="none"/>
          <w:u w:val="single"/>
          <w:lang w:val="en-US" w:eastAsia="zh-CN"/>
        </w:rPr>
        <w:t>260000</w:t>
      </w:r>
      <w:r>
        <w:rPr>
          <w:rFonts w:hint="eastAsia" w:ascii="仿宋" w:hAnsi="仿宋" w:eastAsia="仿宋"/>
          <w:color w:val="auto"/>
          <w:sz w:val="28"/>
          <w:szCs w:val="28"/>
          <w:highlight w:val="none"/>
          <w:u w:val="single"/>
        </w:rPr>
        <w:t>元</w:t>
      </w:r>
    </w:p>
    <w:p w14:paraId="1C456D2C">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最高</w:t>
      </w:r>
      <w:r>
        <w:rPr>
          <w:rFonts w:hint="eastAsia" w:ascii="仿宋" w:hAnsi="仿宋" w:eastAsia="仿宋"/>
          <w:color w:val="auto"/>
          <w:sz w:val="28"/>
          <w:szCs w:val="28"/>
          <w:highlight w:val="none"/>
          <w:lang w:val="en-US" w:eastAsia="zh-CN"/>
        </w:rPr>
        <w:t>投标金额</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u w:val="single"/>
          <w:lang w:val="en-US" w:eastAsia="zh-CN"/>
        </w:rPr>
        <w:t>100元</w:t>
      </w:r>
    </w:p>
    <w:p w14:paraId="1F65CF81">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采购需求：</w:t>
      </w:r>
      <w:r>
        <w:rPr>
          <w:rFonts w:hint="eastAsia" w:ascii="仿宋" w:hAnsi="仿宋" w:eastAsia="仿宋" w:cs="Times New Roman"/>
          <w:color w:val="auto"/>
          <w:sz w:val="28"/>
          <w:szCs w:val="28"/>
          <w:highlight w:val="none"/>
          <w:u w:val="single"/>
          <w:lang w:val="en-US" w:eastAsia="zh-CN"/>
        </w:rPr>
        <w:t>桐城师范高等专科学校2026年军训服装采购项目</w:t>
      </w:r>
      <w:r>
        <w:rPr>
          <w:rFonts w:hint="eastAsia" w:ascii="仿宋" w:hAnsi="仿宋" w:eastAsia="仿宋"/>
          <w:color w:val="auto"/>
          <w:sz w:val="28"/>
          <w:szCs w:val="28"/>
          <w:highlight w:val="none"/>
          <w:u w:val="single"/>
          <w:lang w:val="en-US" w:eastAsia="zh-CN"/>
        </w:rPr>
        <w:t>，</w:t>
      </w:r>
      <w:r>
        <w:rPr>
          <w:rFonts w:hint="eastAsia" w:ascii="仿宋" w:hAnsi="仿宋" w:eastAsia="仿宋"/>
          <w:color w:val="auto"/>
          <w:sz w:val="28"/>
          <w:szCs w:val="28"/>
          <w:highlight w:val="none"/>
          <w:u w:val="single"/>
        </w:rPr>
        <w:t>详见</w:t>
      </w:r>
      <w:r>
        <w:rPr>
          <w:rFonts w:hint="eastAsia" w:ascii="仿宋" w:hAnsi="仿宋" w:eastAsia="仿宋"/>
          <w:color w:val="auto"/>
          <w:sz w:val="28"/>
          <w:szCs w:val="28"/>
          <w:highlight w:val="none"/>
          <w:u w:val="single"/>
          <w:lang w:val="en-US" w:eastAsia="zh-CN"/>
        </w:rPr>
        <w:t>采购需求</w:t>
      </w:r>
    </w:p>
    <w:p w14:paraId="3E73720E">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合同履行期限：</w:t>
      </w:r>
      <w:r>
        <w:rPr>
          <w:rFonts w:hint="eastAsia" w:ascii="仿宋" w:hAnsi="仿宋" w:eastAsia="仿宋"/>
          <w:color w:val="auto"/>
          <w:sz w:val="28"/>
          <w:szCs w:val="28"/>
          <w:highlight w:val="none"/>
          <w:u w:val="single"/>
          <w:lang w:val="en-US" w:eastAsia="zh-CN"/>
        </w:rPr>
        <w:t>2026年8月31日前完成生产备货，具体供货时间待学校通知</w:t>
      </w:r>
    </w:p>
    <w:p w14:paraId="5868C247">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7.</w:t>
      </w:r>
      <w:r>
        <w:rPr>
          <w:rFonts w:hint="eastAsia" w:ascii="仿宋" w:hAnsi="仿宋" w:eastAsia="仿宋"/>
          <w:color w:val="auto"/>
          <w:sz w:val="28"/>
          <w:szCs w:val="28"/>
          <w:highlight w:val="none"/>
        </w:rPr>
        <w:t>本项目不接受联合体。</w:t>
      </w:r>
    </w:p>
    <w:p w14:paraId="3CDA49D9">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bookmarkStart w:id="11" w:name="_Toc28359013"/>
      <w:bookmarkStart w:id="12" w:name="_Toc28359090"/>
      <w:bookmarkStart w:id="13" w:name="_Toc35393630"/>
      <w:bookmarkStart w:id="14" w:name="_Toc35393799"/>
      <w:r>
        <w:rPr>
          <w:rFonts w:hint="eastAsia" w:ascii="黑体" w:hAnsi="黑体" w:eastAsia="黑体" w:cs="宋体"/>
          <w:bCs/>
          <w:color w:val="auto"/>
          <w:sz w:val="28"/>
          <w:szCs w:val="28"/>
          <w:highlight w:val="none"/>
        </w:rPr>
        <w:t>二、申请人的资格要求：</w:t>
      </w:r>
      <w:bookmarkEnd w:id="11"/>
      <w:bookmarkEnd w:id="12"/>
      <w:bookmarkEnd w:id="13"/>
      <w:bookmarkEnd w:id="14"/>
    </w:p>
    <w:p w14:paraId="19AE7634">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仿宋" w:hAnsi="仿宋" w:eastAsia="仿宋"/>
          <w:color w:val="auto"/>
          <w:sz w:val="28"/>
          <w:szCs w:val="28"/>
          <w:highlight w:val="none"/>
        </w:rPr>
      </w:pPr>
      <w:bookmarkStart w:id="15" w:name="_Toc28359014"/>
      <w:bookmarkStart w:id="16" w:name="_Toc35393800"/>
      <w:bookmarkStart w:id="17" w:name="_Toc35393631"/>
      <w:bookmarkStart w:id="18" w:name="_Toc28359091"/>
      <w:r>
        <w:rPr>
          <w:rFonts w:hint="eastAsia" w:ascii="仿宋" w:hAnsi="仿宋" w:eastAsia="仿宋"/>
          <w:color w:val="auto"/>
          <w:sz w:val="28"/>
          <w:szCs w:val="28"/>
          <w:highlight w:val="none"/>
        </w:rPr>
        <w:t>1.满足《中华人民共和国政府采购法》第二十二条规定；</w:t>
      </w:r>
    </w:p>
    <w:p w14:paraId="19FAEBD6">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2.落实政府采购政策需满足的资格要求：/；</w:t>
      </w:r>
    </w:p>
    <w:p w14:paraId="3F75422C">
      <w:pPr>
        <w:pStyle w:val="58"/>
        <w:ind w:firstLine="546" w:firstLineChars="195"/>
        <w:rPr>
          <w:rFonts w:hint="default"/>
          <w:lang w:val="en-US" w:eastAsia="zh-CN"/>
        </w:rPr>
      </w:pPr>
      <w:r>
        <w:rPr>
          <w:rFonts w:hint="eastAsia" w:ascii="仿宋" w:hAnsi="仿宋" w:eastAsia="仿宋"/>
          <w:color w:val="auto"/>
          <w:sz w:val="28"/>
          <w:szCs w:val="28"/>
          <w:highlight w:val="none"/>
          <w:lang w:val="en-US" w:eastAsia="zh-CN"/>
        </w:rPr>
        <w:t>3.本项目的特定资格要求：/。</w:t>
      </w:r>
    </w:p>
    <w:p w14:paraId="033EA526">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三、获取采购文件</w:t>
      </w:r>
      <w:bookmarkEnd w:id="15"/>
      <w:bookmarkEnd w:id="16"/>
      <w:bookmarkEnd w:id="17"/>
      <w:bookmarkEnd w:id="18"/>
    </w:p>
    <w:p w14:paraId="7BE09DAA">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rPr>
        <w:t>年</w:t>
      </w:r>
      <w:r>
        <w:rPr>
          <w:rFonts w:hint="eastAsia" w:ascii="仿宋" w:hAnsi="仿宋" w:eastAsia="仿宋" w:cs="宋体"/>
          <w:color w:val="auto"/>
          <w:sz w:val="28"/>
          <w:szCs w:val="28"/>
          <w:highlight w:val="none"/>
          <w:u w:val="single"/>
          <w:lang w:val="en-US" w:eastAsia="zh-CN"/>
        </w:rPr>
        <w:t xml:space="preserve"> 7 </w:t>
      </w:r>
      <w:r>
        <w:rPr>
          <w:rFonts w:hint="eastAsia" w:ascii="仿宋" w:hAnsi="仿宋" w:eastAsia="仿宋" w:cs="宋体"/>
          <w:color w:val="auto"/>
          <w:sz w:val="28"/>
          <w:szCs w:val="28"/>
          <w:highlight w:val="none"/>
        </w:rPr>
        <w:t>月</w:t>
      </w:r>
      <w:r>
        <w:rPr>
          <w:rFonts w:hint="eastAsia" w:ascii="仿宋" w:hAnsi="仿宋" w:eastAsia="仿宋" w:cs="宋体"/>
          <w:color w:val="auto"/>
          <w:sz w:val="28"/>
          <w:szCs w:val="28"/>
          <w:highlight w:val="none"/>
          <w:u w:val="single"/>
          <w:lang w:val="en-US" w:eastAsia="zh-CN"/>
        </w:rPr>
        <w:t xml:space="preserve"> 24 </w:t>
      </w:r>
      <w:r>
        <w:rPr>
          <w:rFonts w:hint="eastAsia" w:ascii="仿宋" w:hAnsi="仿宋" w:eastAsia="仿宋" w:cs="宋体"/>
          <w:color w:val="auto"/>
          <w:sz w:val="28"/>
          <w:szCs w:val="28"/>
          <w:highlight w:val="none"/>
        </w:rPr>
        <w:t>日</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9</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时</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00</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分前（北京时间）</w:t>
      </w:r>
    </w:p>
    <w:p w14:paraId="4AD944A3">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地点：</w:t>
      </w:r>
      <w:r>
        <w:rPr>
          <w:rFonts w:hint="eastAsia" w:ascii="仿宋" w:hAnsi="仿宋" w:eastAsia="仿宋" w:cs="宋体"/>
          <w:color w:val="auto"/>
          <w:sz w:val="28"/>
          <w:szCs w:val="28"/>
          <w:highlight w:val="none"/>
          <w:u w:val="single"/>
        </w:rPr>
        <w:t>桐城师范高等专科学校官网</w:t>
      </w:r>
    </w:p>
    <w:p w14:paraId="38736654">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方式：</w:t>
      </w:r>
      <w:r>
        <w:rPr>
          <w:rFonts w:hint="eastAsia" w:ascii="仿宋" w:hAnsi="仿宋" w:eastAsia="仿宋" w:cs="宋体"/>
          <w:color w:val="auto"/>
          <w:sz w:val="28"/>
          <w:szCs w:val="28"/>
          <w:highlight w:val="none"/>
          <w:u w:val="single"/>
          <w:lang w:val="en-US" w:eastAsia="zh-CN"/>
        </w:rPr>
        <w:t>桐城师范高等专科学校官网和安庆市公共资源交易服务网“限额以下项目”自行下载</w:t>
      </w:r>
    </w:p>
    <w:p w14:paraId="52305C88">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bookmarkStart w:id="19" w:name="_Toc28359092"/>
      <w:bookmarkStart w:id="20" w:name="_Toc35393632"/>
      <w:bookmarkStart w:id="21" w:name="_Toc28359015"/>
      <w:bookmarkStart w:id="22" w:name="_Toc35393801"/>
      <w:r>
        <w:rPr>
          <w:rFonts w:hint="eastAsia" w:ascii="黑体" w:hAnsi="黑体" w:eastAsia="黑体" w:cs="宋体"/>
          <w:bCs/>
          <w:color w:val="auto"/>
          <w:sz w:val="28"/>
          <w:szCs w:val="28"/>
          <w:highlight w:val="none"/>
        </w:rPr>
        <w:t>四、响应文件提交</w:t>
      </w:r>
      <w:bookmarkEnd w:id="19"/>
      <w:bookmarkEnd w:id="20"/>
      <w:bookmarkEnd w:id="21"/>
      <w:bookmarkEnd w:id="22"/>
    </w:p>
    <w:p w14:paraId="4A3600E9">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仿宋"/>
          <w:b w:val="0"/>
          <w:bCs/>
          <w:color w:val="auto"/>
          <w:sz w:val="28"/>
          <w:szCs w:val="28"/>
          <w:highlight w:val="none"/>
        </w:rPr>
      </w:pPr>
      <w:bookmarkStart w:id="23" w:name="_Toc35393633"/>
      <w:bookmarkStart w:id="24" w:name="_Toc35393802"/>
      <w:bookmarkStart w:id="25" w:name="_Toc28359093"/>
      <w:bookmarkStart w:id="26" w:name="_Toc28359016"/>
      <w:r>
        <w:rPr>
          <w:rFonts w:hint="eastAsia" w:ascii="仿宋" w:hAnsi="仿宋" w:eastAsia="仿宋" w:cs="仿宋"/>
          <w:b w:val="0"/>
          <w:bCs/>
          <w:color w:val="auto"/>
          <w:sz w:val="28"/>
          <w:szCs w:val="28"/>
          <w:highlight w:val="none"/>
        </w:rPr>
        <w:t>截止时间：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rPr>
        <w:t>年</w:t>
      </w:r>
      <w:r>
        <w:rPr>
          <w:rFonts w:hint="eastAsia" w:ascii="仿宋" w:hAnsi="仿宋" w:eastAsia="仿宋" w:cs="宋体"/>
          <w:color w:val="auto"/>
          <w:sz w:val="28"/>
          <w:szCs w:val="28"/>
          <w:highlight w:val="none"/>
          <w:u w:val="single"/>
          <w:lang w:val="en-US" w:eastAsia="zh-CN"/>
        </w:rPr>
        <w:t xml:space="preserve"> 7 </w:t>
      </w:r>
      <w:r>
        <w:rPr>
          <w:rFonts w:hint="eastAsia" w:ascii="仿宋" w:hAnsi="仿宋" w:eastAsia="仿宋" w:cs="宋体"/>
          <w:color w:val="auto"/>
          <w:sz w:val="28"/>
          <w:szCs w:val="28"/>
          <w:highlight w:val="none"/>
        </w:rPr>
        <w:t>月</w:t>
      </w:r>
      <w:r>
        <w:rPr>
          <w:rFonts w:hint="eastAsia" w:ascii="仿宋" w:hAnsi="仿宋" w:eastAsia="仿宋" w:cs="宋体"/>
          <w:color w:val="auto"/>
          <w:sz w:val="28"/>
          <w:szCs w:val="28"/>
          <w:highlight w:val="none"/>
          <w:u w:val="single"/>
          <w:lang w:val="en-US" w:eastAsia="zh-CN"/>
        </w:rPr>
        <w:t xml:space="preserve"> 24 </w:t>
      </w:r>
      <w:r>
        <w:rPr>
          <w:rFonts w:hint="eastAsia" w:ascii="仿宋" w:hAnsi="仿宋" w:eastAsia="仿宋" w:cs="宋体"/>
          <w:color w:val="auto"/>
          <w:sz w:val="28"/>
          <w:szCs w:val="28"/>
          <w:highlight w:val="none"/>
        </w:rPr>
        <w:t>日</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9</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时</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00</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分前</w:t>
      </w:r>
    </w:p>
    <w:p w14:paraId="2FDFF555">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rPr>
        <w:t>地点：</w:t>
      </w:r>
      <w:r>
        <w:rPr>
          <w:rFonts w:hint="eastAsia" w:ascii="仿宋" w:hAnsi="仿宋" w:eastAsia="仿宋" w:cs="仿宋"/>
          <w:b w:val="0"/>
          <w:bCs/>
          <w:color w:val="auto"/>
          <w:sz w:val="28"/>
          <w:szCs w:val="28"/>
          <w:highlight w:val="none"/>
          <w:u w:val="single"/>
          <w:lang w:val="en-US" w:eastAsia="zh-CN"/>
        </w:rPr>
        <w:t>纸质响应文件提交至</w:t>
      </w:r>
      <w:r>
        <w:rPr>
          <w:rFonts w:hint="eastAsia" w:ascii="仿宋" w:hAnsi="仿宋" w:eastAsia="仿宋" w:cs="仿宋"/>
          <w:b w:val="0"/>
          <w:bCs/>
          <w:color w:val="auto"/>
          <w:sz w:val="28"/>
          <w:szCs w:val="28"/>
          <w:highlight w:val="none"/>
          <w:u w:val="single"/>
        </w:rPr>
        <w:t>桐城市文昌街道徐庄安置点4期6幢114-115</w:t>
      </w:r>
    </w:p>
    <w:p w14:paraId="7910FF75">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五、开启</w:t>
      </w:r>
      <w:bookmarkEnd w:id="23"/>
      <w:bookmarkEnd w:id="24"/>
      <w:bookmarkEnd w:id="25"/>
      <w:bookmarkEnd w:id="26"/>
    </w:p>
    <w:p w14:paraId="6679B914">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olor w:val="auto"/>
          <w:sz w:val="28"/>
          <w:szCs w:val="28"/>
          <w:highlight w:val="none"/>
          <w:lang w:val="en-US" w:eastAsia="zh-CN"/>
        </w:rPr>
      </w:pPr>
      <w:bookmarkStart w:id="27" w:name="_Toc35393634"/>
      <w:bookmarkStart w:id="28" w:name="_Toc35393803"/>
      <w:bookmarkStart w:id="29" w:name="_Toc28359094"/>
      <w:bookmarkStart w:id="30" w:name="_Toc28359017"/>
      <w:r>
        <w:rPr>
          <w:rFonts w:hint="eastAsia" w:ascii="仿宋" w:hAnsi="仿宋" w:eastAsia="仿宋"/>
          <w:color w:val="auto"/>
          <w:sz w:val="28"/>
          <w:szCs w:val="28"/>
          <w:highlight w:val="none"/>
          <w:lang w:val="en-US" w:eastAsia="zh-CN"/>
        </w:rPr>
        <w:t>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rPr>
        <w:t>年</w:t>
      </w:r>
      <w:r>
        <w:rPr>
          <w:rFonts w:hint="eastAsia" w:ascii="仿宋" w:hAnsi="仿宋" w:eastAsia="仿宋" w:cs="宋体"/>
          <w:color w:val="auto"/>
          <w:sz w:val="28"/>
          <w:szCs w:val="28"/>
          <w:highlight w:val="none"/>
          <w:u w:val="single"/>
          <w:lang w:val="en-US" w:eastAsia="zh-CN"/>
        </w:rPr>
        <w:t xml:space="preserve"> 7 </w:t>
      </w:r>
      <w:r>
        <w:rPr>
          <w:rFonts w:hint="eastAsia" w:ascii="仿宋" w:hAnsi="仿宋" w:eastAsia="仿宋" w:cs="宋体"/>
          <w:color w:val="auto"/>
          <w:sz w:val="28"/>
          <w:szCs w:val="28"/>
          <w:highlight w:val="none"/>
        </w:rPr>
        <w:t>月</w:t>
      </w:r>
      <w:r>
        <w:rPr>
          <w:rFonts w:hint="eastAsia" w:ascii="仿宋" w:hAnsi="仿宋" w:eastAsia="仿宋" w:cs="宋体"/>
          <w:color w:val="auto"/>
          <w:sz w:val="28"/>
          <w:szCs w:val="28"/>
          <w:highlight w:val="none"/>
          <w:u w:val="single"/>
          <w:lang w:val="en-US" w:eastAsia="zh-CN"/>
        </w:rPr>
        <w:t xml:space="preserve"> 24 </w:t>
      </w:r>
      <w:r>
        <w:rPr>
          <w:rFonts w:hint="eastAsia" w:ascii="仿宋" w:hAnsi="仿宋" w:eastAsia="仿宋" w:cs="宋体"/>
          <w:color w:val="auto"/>
          <w:sz w:val="28"/>
          <w:szCs w:val="28"/>
          <w:highlight w:val="none"/>
        </w:rPr>
        <w:t>日</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9</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时</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u w:val="single"/>
        </w:rPr>
        <w:t>00</w:t>
      </w:r>
      <w:r>
        <w:rPr>
          <w:rFonts w:hint="eastAsia" w:ascii="仿宋" w:hAnsi="仿宋" w:eastAsia="仿宋" w:cs="宋体"/>
          <w:color w:val="auto"/>
          <w:sz w:val="28"/>
          <w:szCs w:val="28"/>
          <w:highlight w:val="none"/>
          <w:u w:val="single"/>
          <w:lang w:val="en-US" w:eastAsia="zh-CN"/>
        </w:rPr>
        <w:t xml:space="preserve"> </w:t>
      </w:r>
      <w:r>
        <w:rPr>
          <w:rFonts w:hint="eastAsia" w:ascii="仿宋" w:hAnsi="仿宋" w:eastAsia="仿宋" w:cs="宋体"/>
          <w:color w:val="auto"/>
          <w:sz w:val="28"/>
          <w:szCs w:val="28"/>
          <w:highlight w:val="none"/>
        </w:rPr>
        <w:t>分</w:t>
      </w:r>
    </w:p>
    <w:p w14:paraId="761158BF">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rPr>
        <w:t>地点：</w:t>
      </w:r>
      <w:r>
        <w:rPr>
          <w:rFonts w:hint="eastAsia" w:ascii="仿宋" w:hAnsi="仿宋" w:eastAsia="仿宋" w:cs="仿宋"/>
          <w:b w:val="0"/>
          <w:bCs/>
          <w:color w:val="auto"/>
          <w:sz w:val="28"/>
          <w:szCs w:val="28"/>
          <w:highlight w:val="none"/>
          <w:u w:val="single"/>
        </w:rPr>
        <w:t>桐城市文昌街道徐庄安置点4期6幢114-115</w:t>
      </w:r>
    </w:p>
    <w:p w14:paraId="3CD112B1">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六、公告期限</w:t>
      </w:r>
      <w:bookmarkEnd w:id="27"/>
      <w:bookmarkEnd w:id="28"/>
      <w:bookmarkEnd w:id="29"/>
      <w:bookmarkEnd w:id="30"/>
    </w:p>
    <w:p w14:paraId="2A05894E">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自本公告发布之日起</w:t>
      </w:r>
      <w:r>
        <w:rPr>
          <w:rFonts w:hint="eastAsia" w:ascii="仿宋" w:hAnsi="仿宋" w:eastAsia="仿宋" w:cs="宋体"/>
          <w:color w:val="auto"/>
          <w:kern w:val="0"/>
          <w:sz w:val="28"/>
          <w:szCs w:val="28"/>
          <w:highlight w:val="none"/>
          <w:lang w:val="en-US" w:eastAsia="zh-CN"/>
        </w:rPr>
        <w:t>3</w:t>
      </w:r>
      <w:r>
        <w:rPr>
          <w:rFonts w:hint="eastAsia" w:ascii="仿宋" w:hAnsi="仿宋" w:eastAsia="仿宋" w:cs="宋体"/>
          <w:color w:val="auto"/>
          <w:kern w:val="0"/>
          <w:sz w:val="28"/>
          <w:szCs w:val="28"/>
          <w:highlight w:val="none"/>
        </w:rPr>
        <w:t>个工作日。</w:t>
      </w:r>
    </w:p>
    <w:p w14:paraId="3F986ABF">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firstLine="560" w:firstLineChars="200"/>
        <w:textAlignment w:val="auto"/>
        <w:rPr>
          <w:rFonts w:hint="eastAsia" w:ascii="黑体" w:hAnsi="黑体" w:eastAsia="黑体" w:cs="宋体"/>
          <w:bCs/>
          <w:color w:val="auto"/>
          <w:sz w:val="28"/>
          <w:szCs w:val="28"/>
          <w:highlight w:val="none"/>
        </w:rPr>
      </w:pPr>
      <w:bookmarkStart w:id="31" w:name="_Toc35393804"/>
      <w:bookmarkStart w:id="32" w:name="_Toc35393635"/>
      <w:r>
        <w:rPr>
          <w:rFonts w:hint="eastAsia" w:ascii="黑体" w:hAnsi="黑体" w:eastAsia="黑体" w:cs="宋体"/>
          <w:bCs/>
          <w:color w:val="auto"/>
          <w:sz w:val="28"/>
          <w:szCs w:val="28"/>
          <w:highlight w:val="none"/>
        </w:rPr>
        <w:t>其他补充事宜</w:t>
      </w:r>
      <w:bookmarkEnd w:id="31"/>
      <w:bookmarkEnd w:id="32"/>
    </w:p>
    <w:bookmarkEnd w:id="9"/>
    <w:bookmarkEnd w:id="10"/>
    <w:p w14:paraId="2959D1A1">
      <w:pPr>
        <w:keepNext w:val="0"/>
        <w:keepLines w:val="0"/>
        <w:pageBreakBefore w:val="0"/>
        <w:numPr>
          <w:ilvl w:val="0"/>
          <w:numId w:val="0"/>
        </w:numPr>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 xml:space="preserve">1.响应文件要求：投标时需将“响应文件”分正/副本（一正、一副）一起装袋密封，响应文件的密封袋的封口骑缝处应加盖供应商公章。响应文件未按要求装订密封，现场报名时招标代理将拒绝接收。 </w:t>
      </w:r>
    </w:p>
    <w:p w14:paraId="5FA9A95D">
      <w:pPr>
        <w:keepNext w:val="0"/>
        <w:keepLines w:val="0"/>
        <w:pageBreakBefore w:val="0"/>
        <w:numPr>
          <w:ilvl w:val="0"/>
          <w:numId w:val="0"/>
        </w:numPr>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2.中标单位应按照中标通知书要求及时与采购人签订合同并完成备案，否则将记入不良行为记录，并予以披露。</w:t>
      </w:r>
    </w:p>
    <w:p w14:paraId="15B26859">
      <w:pPr>
        <w:keepNext w:val="0"/>
        <w:keepLines w:val="0"/>
        <w:pageBreakBefore w:val="0"/>
        <w:numPr>
          <w:ilvl w:val="0"/>
          <w:numId w:val="0"/>
        </w:numPr>
        <w:kinsoku/>
        <w:wordWrap/>
        <w:overflowPunct/>
        <w:topLinePunct w:val="0"/>
        <w:autoSpaceDE/>
        <w:autoSpaceDN/>
        <w:bidi w:val="0"/>
        <w:snapToGrid/>
        <w:spacing w:line="640" w:lineRule="exact"/>
        <w:textAlignment w:val="auto"/>
        <w:rPr>
          <w:rFonts w:hint="eastAsia" w:ascii="黑体" w:hAnsi="黑体" w:eastAsia="黑体" w:cs="宋体"/>
          <w:bCs/>
          <w:color w:val="auto"/>
          <w:sz w:val="28"/>
          <w:szCs w:val="28"/>
          <w:highlight w:val="none"/>
          <w:lang w:val="en-US" w:eastAsia="zh-CN"/>
        </w:rPr>
      </w:pPr>
      <w:r>
        <w:rPr>
          <w:rFonts w:hint="eastAsia" w:ascii="黑体" w:hAnsi="黑体" w:eastAsia="黑体" w:cs="宋体"/>
          <w:bCs/>
          <w:color w:val="auto"/>
          <w:sz w:val="28"/>
          <w:szCs w:val="28"/>
          <w:highlight w:val="none"/>
          <w:lang w:val="en-US" w:eastAsia="zh-CN"/>
        </w:rPr>
        <w:t xml:space="preserve">    八、凡对本次采购提出询问，请按以下方式联系。</w:t>
      </w:r>
    </w:p>
    <w:p w14:paraId="07892CAE">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1.采购人信息</w:t>
      </w:r>
    </w:p>
    <w:p w14:paraId="0FD87A7D">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名称：桐城师范高等专科学校</w:t>
      </w:r>
    </w:p>
    <w:p w14:paraId="351348A5">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地址：安徽省桐城市经开区学苑路199号</w:t>
      </w:r>
    </w:p>
    <w:p w14:paraId="3508FD9B">
      <w:pPr>
        <w:keepNext w:val="0"/>
        <w:keepLines w:val="0"/>
        <w:pageBreakBefore w:val="0"/>
        <w:kinsoku/>
        <w:wordWrap/>
        <w:overflowPunct/>
        <w:topLinePunct w:val="0"/>
        <w:autoSpaceDE/>
        <w:autoSpaceDN/>
        <w:bidi w:val="0"/>
        <w:snapToGrid/>
        <w:spacing w:line="640" w:lineRule="exact"/>
        <w:ind w:firstLine="560" w:firstLineChars="200"/>
        <w:textAlignment w:val="auto"/>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联系人：刘老师           联系方式：</w:t>
      </w:r>
      <w:r>
        <w:rPr>
          <w:rFonts w:hint="eastAsia" w:ascii="宋体" w:hAnsi="宋体" w:eastAsia="宋体" w:cs="宋体"/>
          <w:i w:val="0"/>
          <w:iCs w:val="0"/>
          <w:caps w:val="0"/>
          <w:color w:val="333333"/>
          <w:spacing w:val="0"/>
          <w:sz w:val="27"/>
          <w:szCs w:val="27"/>
          <w:shd w:val="clear" w:fill="FFFFFF"/>
        </w:rPr>
        <w:t>0556-6121595</w:t>
      </w:r>
    </w:p>
    <w:p w14:paraId="1618AE76">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2.采购代理机构信息</w:t>
      </w:r>
    </w:p>
    <w:p w14:paraId="17D1D3E0">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名称：宏骏工程管理有限公司</w:t>
      </w:r>
    </w:p>
    <w:p w14:paraId="27074D8B">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地址：桐城市文昌街道徐庄安置点4期6幢114-115</w:t>
      </w:r>
    </w:p>
    <w:p w14:paraId="340E10DF">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联系人：齐女士           联系电话：13855669358</w:t>
      </w:r>
    </w:p>
    <w:bookmarkEnd w:id="3"/>
    <w:p w14:paraId="417B9442">
      <w:pPr>
        <w:pStyle w:val="3"/>
        <w:tabs>
          <w:tab w:val="left" w:pos="1440"/>
          <w:tab w:val="left" w:pos="5670"/>
        </w:tabs>
        <w:spacing w:before="62" w:beforeLines="20" w:after="0" w:afterAutospacing="0" w:line="480" w:lineRule="exact"/>
        <w:ind w:firstLine="0" w:firstLineChars="0"/>
        <w:jc w:val="center"/>
        <w:rPr>
          <w:rFonts w:hint="eastAsia" w:ascii="宋体" w:hAnsi="宋体" w:eastAsia="宋体" w:cs="宋体"/>
          <w:b/>
          <w:bCs/>
          <w:color w:val="auto"/>
          <w:kern w:val="2"/>
          <w:sz w:val="36"/>
          <w:szCs w:val="36"/>
          <w:highlight w:val="none"/>
        </w:rPr>
      </w:pPr>
      <w:bookmarkStart w:id="33" w:name="_Toc11266"/>
      <w:bookmarkStart w:id="34" w:name="_Toc54941329"/>
      <w:bookmarkStart w:id="35" w:name="_Toc26069"/>
      <w:bookmarkStart w:id="36" w:name="_Toc54941331"/>
      <w:bookmarkStart w:id="37" w:name="_Toc439316872"/>
      <w:bookmarkStart w:id="38" w:name="_Toc2521"/>
      <w:r>
        <w:rPr>
          <w:rFonts w:hint="eastAsia" w:ascii="宋体" w:hAnsi="宋体" w:eastAsia="宋体" w:cs="宋体"/>
          <w:b/>
          <w:bCs/>
          <w:color w:val="auto"/>
          <w:kern w:val="2"/>
          <w:sz w:val="36"/>
          <w:szCs w:val="36"/>
          <w:highlight w:val="none"/>
        </w:rPr>
        <w:t xml:space="preserve">第二章   </w:t>
      </w:r>
      <w:r>
        <w:rPr>
          <w:rFonts w:hint="eastAsia" w:ascii="宋体" w:hAnsi="宋体" w:eastAsia="宋体" w:cs="宋体"/>
          <w:b/>
          <w:bCs/>
          <w:color w:val="auto"/>
          <w:kern w:val="2"/>
          <w:sz w:val="36"/>
          <w:szCs w:val="36"/>
          <w:highlight w:val="none"/>
          <w:lang w:val="en-US" w:eastAsia="zh-CN"/>
        </w:rPr>
        <w:t>竞争性谈判</w:t>
      </w:r>
      <w:r>
        <w:rPr>
          <w:rFonts w:hint="eastAsia" w:ascii="宋体" w:hAnsi="宋体" w:eastAsia="宋体" w:cs="宋体"/>
          <w:b/>
          <w:bCs/>
          <w:color w:val="auto"/>
          <w:kern w:val="2"/>
          <w:sz w:val="36"/>
          <w:szCs w:val="36"/>
          <w:highlight w:val="none"/>
        </w:rPr>
        <w:t>须知</w:t>
      </w:r>
      <w:bookmarkEnd w:id="33"/>
      <w:bookmarkEnd w:id="34"/>
      <w:bookmarkEnd w:id="35"/>
    </w:p>
    <w:p w14:paraId="62BB8DF9">
      <w:pPr>
        <w:pStyle w:val="3"/>
        <w:tabs>
          <w:tab w:val="left" w:pos="1440"/>
          <w:tab w:val="left" w:pos="5670"/>
        </w:tabs>
        <w:spacing w:before="0" w:beforeAutospacing="0" w:after="62" w:afterLines="20" w:line="480" w:lineRule="exact"/>
        <w:ind w:firstLine="0" w:firstLineChars="0"/>
        <w:jc w:val="center"/>
        <w:rPr>
          <w:rFonts w:hint="eastAsia" w:ascii="宋体" w:hAnsi="宋体" w:eastAsia="宋体" w:cs="宋体"/>
          <w:b/>
          <w:bCs/>
          <w:color w:val="auto"/>
          <w:kern w:val="2"/>
          <w:sz w:val="32"/>
          <w:szCs w:val="32"/>
          <w:highlight w:val="none"/>
          <w:lang w:eastAsia="zh-CN"/>
        </w:rPr>
      </w:pPr>
      <w:bookmarkStart w:id="39" w:name="_Toc439316871"/>
      <w:bookmarkStart w:id="40" w:name="_Toc17862"/>
      <w:bookmarkStart w:id="41" w:name="_Toc54941330"/>
      <w:r>
        <w:rPr>
          <w:rFonts w:hint="eastAsia" w:ascii="宋体" w:hAnsi="宋体" w:eastAsia="宋体" w:cs="宋体"/>
          <w:b/>
          <w:bCs/>
          <w:color w:val="auto"/>
          <w:kern w:val="2"/>
          <w:sz w:val="32"/>
          <w:szCs w:val="32"/>
          <w:highlight w:val="none"/>
        </w:rPr>
        <w:t xml:space="preserve">第一节 </w:t>
      </w:r>
      <w:bookmarkEnd w:id="39"/>
      <w:bookmarkEnd w:id="40"/>
      <w:bookmarkEnd w:id="41"/>
      <w:r>
        <w:rPr>
          <w:rFonts w:hint="eastAsia" w:ascii="宋体" w:hAnsi="宋体" w:eastAsia="宋体" w:cs="宋体"/>
          <w:b/>
          <w:bCs/>
          <w:color w:val="auto"/>
          <w:kern w:val="2"/>
          <w:sz w:val="32"/>
          <w:szCs w:val="32"/>
          <w:highlight w:val="none"/>
          <w:lang w:eastAsia="zh-CN"/>
        </w:rPr>
        <w:t>谈判须知前附表</w:t>
      </w:r>
    </w:p>
    <w:tbl>
      <w:tblPr>
        <w:tblStyle w:val="41"/>
        <w:tblW w:w="1048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0"/>
        <w:gridCol w:w="2698"/>
        <w:gridCol w:w="7084"/>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700"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698"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7084"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00"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eastAsia="zh-CN"/>
              </w:rPr>
            </w:pPr>
            <w:r>
              <w:rPr>
                <w:rFonts w:hint="eastAsia" w:asciiTheme="minorEastAsia" w:hAnsiTheme="minorEastAsia" w:eastAsiaTheme="minorEastAsia" w:cstheme="minorEastAsia"/>
                <w:b/>
                <w:bCs/>
                <w:sz w:val="24"/>
                <w:szCs w:val="22"/>
                <w:lang w:val="en-US" w:eastAsia="zh-CN"/>
              </w:rPr>
              <w:t>1</w:t>
            </w:r>
          </w:p>
        </w:tc>
        <w:tc>
          <w:tcPr>
            <w:tcW w:w="2698"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采购人</w:t>
            </w:r>
          </w:p>
        </w:tc>
        <w:tc>
          <w:tcPr>
            <w:tcW w:w="7084"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eastAsia="zh-CN"/>
              </w:rPr>
            </w:pPr>
            <w:r>
              <w:rPr>
                <w:rFonts w:hint="eastAsia" w:asciiTheme="minorEastAsia" w:hAnsiTheme="minorEastAsia" w:eastAsiaTheme="minorEastAsia" w:cstheme="minorEastAsia"/>
                <w:b/>
                <w:bCs/>
                <w:sz w:val="24"/>
                <w:szCs w:val="22"/>
                <w:lang w:val="en-US" w:eastAsia="zh-CN"/>
              </w:rPr>
              <w:t>2</w:t>
            </w:r>
          </w:p>
        </w:tc>
        <w:tc>
          <w:tcPr>
            <w:tcW w:w="2698"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采购</w:t>
            </w:r>
            <w:r>
              <w:rPr>
                <w:rFonts w:hint="eastAsia" w:asciiTheme="minorEastAsia" w:hAnsiTheme="minorEastAsia" w:eastAsiaTheme="minorEastAsia" w:cstheme="minorEastAsia"/>
                <w:sz w:val="24"/>
                <w:szCs w:val="22"/>
                <w:lang w:val="en-US" w:eastAsia="zh-CN"/>
              </w:rPr>
              <w:t>代理</w:t>
            </w:r>
            <w:r>
              <w:rPr>
                <w:rFonts w:hint="eastAsia" w:asciiTheme="minorEastAsia" w:hAnsiTheme="minorEastAsia" w:eastAsiaTheme="minorEastAsia" w:cstheme="minorEastAsia"/>
                <w:sz w:val="24"/>
                <w:szCs w:val="22"/>
              </w:rPr>
              <w:t>机构</w:t>
            </w:r>
          </w:p>
        </w:tc>
        <w:tc>
          <w:tcPr>
            <w:tcW w:w="7084"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宏骏工程管理有限公司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700"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3</w:t>
            </w:r>
          </w:p>
        </w:tc>
        <w:tc>
          <w:tcPr>
            <w:tcW w:w="2698"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申请人（供应商）</w:t>
            </w:r>
            <w:r>
              <w:rPr>
                <w:rFonts w:hint="eastAsia" w:asciiTheme="minorEastAsia" w:hAnsiTheme="minorEastAsia" w:eastAsiaTheme="minorEastAsia" w:cstheme="minorEastAsia"/>
                <w:sz w:val="24"/>
                <w:szCs w:val="22"/>
              </w:rPr>
              <w:t>资格要求</w:t>
            </w:r>
          </w:p>
        </w:tc>
        <w:tc>
          <w:tcPr>
            <w:tcW w:w="7084"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详见竞争性谈判公告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700"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4</w:t>
            </w:r>
          </w:p>
        </w:tc>
        <w:tc>
          <w:tcPr>
            <w:tcW w:w="2698"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现场考察</w:t>
            </w:r>
          </w:p>
        </w:tc>
        <w:tc>
          <w:tcPr>
            <w:tcW w:w="7084" w:type="dxa"/>
            <w:tcBorders>
              <w:top w:val="single" w:color="auto" w:sz="4" w:space="0"/>
              <w:left w:val="single" w:color="auto" w:sz="4" w:space="0"/>
              <w:bottom w:val="single" w:color="auto" w:sz="4" w:space="0"/>
            </w:tcBorders>
            <w:vAlign w:val="center"/>
          </w:tcPr>
          <w:p w14:paraId="1AB1C9D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0041951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color w:val="auto"/>
                <w:sz w:val="24"/>
                <w:highlight w:val="none"/>
                <w:lang w:eastAsia="zh-CN"/>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1DFB6A50">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bCs/>
                <w:color w:val="auto"/>
                <w:sz w:val="24"/>
                <w:highlight w:val="none"/>
                <w:u w:val="single"/>
                <w:lang w:val="en-US" w:eastAsia="zh-CN"/>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hint="eastAsia" w:ascii="宋体" w:hAnsi="宋体"/>
                <w:bCs/>
                <w:color w:val="auto"/>
                <w:sz w:val="24"/>
                <w:highlight w:val="none"/>
                <w:u w:val="single"/>
                <w:lang w:val="en-US" w:eastAsia="zh-CN"/>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hint="eastAsia" w:ascii="宋体" w:hAnsi="宋体"/>
                <w:bCs/>
                <w:color w:val="auto"/>
                <w:sz w:val="24"/>
                <w:highlight w:val="none"/>
                <w:u w:val="single"/>
                <w:lang w:val="en-US" w:eastAsia="zh-CN"/>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hint="eastAsia" w:ascii="宋体" w:hAnsi="宋体"/>
                <w:bCs/>
                <w:color w:val="auto"/>
                <w:sz w:val="24"/>
                <w:highlight w:val="none"/>
                <w:u w:val="single"/>
                <w:lang w:val="en-US" w:eastAsia="zh-CN"/>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hint="eastAsia" w:ascii="宋体" w:hAnsi="宋体"/>
                <w:bCs/>
                <w:color w:val="auto"/>
                <w:sz w:val="24"/>
                <w:highlight w:val="none"/>
                <w:u w:val="single"/>
                <w:lang w:val="en-US" w:eastAsia="zh-CN"/>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7C4E3780">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hint="eastAsia" w:ascii="宋体" w:hAnsi="宋体"/>
                <w:bCs/>
                <w:color w:val="auto"/>
                <w:sz w:val="24"/>
                <w:highlight w:val="none"/>
                <w:u w:val="single"/>
                <w:lang w:val="en-US" w:eastAsia="zh-CN"/>
              </w:rPr>
              <w:t xml:space="preserve">                             </w:t>
            </w:r>
            <w:r>
              <w:rPr>
                <w:rFonts w:ascii="宋体" w:hAnsi="宋体" w:eastAsia="宋体"/>
                <w:bCs/>
                <w:color w:val="auto"/>
                <w:sz w:val="24"/>
                <w:highlight w:val="none"/>
                <w:u w:val="single"/>
              </w:rPr>
              <w:t xml:space="preserve"> </w:t>
            </w:r>
          </w:p>
          <w:p w14:paraId="3D142B2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hint="eastAsia" w:ascii="宋体" w:hAnsi="宋体"/>
                <w:bCs/>
                <w:color w:val="auto"/>
                <w:sz w:val="24"/>
                <w:highlight w:val="none"/>
                <w:u w:val="single"/>
                <w:lang w:val="en-US" w:eastAsia="zh-CN"/>
              </w:rPr>
              <w:t xml:space="preserve">                 </w:t>
            </w:r>
            <w:r>
              <w:rPr>
                <w:rFonts w:ascii="宋体" w:hAnsi="宋体" w:eastAsia="宋体"/>
                <w:bCs/>
                <w:color w:val="auto"/>
                <w:sz w:val="24"/>
                <w:highlight w:val="none"/>
                <w:u w:val="single"/>
              </w:rPr>
              <w:t xml:space="preserve"> </w:t>
            </w:r>
          </w:p>
          <w:p w14:paraId="5B09724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自行承担。</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5</w:t>
            </w:r>
          </w:p>
        </w:tc>
        <w:tc>
          <w:tcPr>
            <w:tcW w:w="2698"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包别划分</w:t>
            </w:r>
          </w:p>
        </w:tc>
        <w:tc>
          <w:tcPr>
            <w:tcW w:w="7084"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color w:val="auto"/>
                <w:sz w:val="24"/>
                <w:szCs w:val="24"/>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0"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6</w:t>
            </w:r>
          </w:p>
        </w:tc>
        <w:tc>
          <w:tcPr>
            <w:tcW w:w="2698"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有效期</w:t>
            </w:r>
          </w:p>
        </w:tc>
        <w:tc>
          <w:tcPr>
            <w:tcW w:w="7084"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color w:val="auto"/>
                <w:sz w:val="24"/>
                <w:szCs w:val="24"/>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00"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7</w:t>
            </w:r>
          </w:p>
        </w:tc>
        <w:tc>
          <w:tcPr>
            <w:tcW w:w="2698"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响应文件要求</w:t>
            </w:r>
          </w:p>
        </w:tc>
        <w:tc>
          <w:tcPr>
            <w:tcW w:w="7084"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（1）供应商的响应文件需</w:t>
            </w:r>
            <w:r>
              <w:rPr>
                <w:rFonts w:hint="eastAsia" w:asciiTheme="minorEastAsia" w:hAnsiTheme="minorEastAsia" w:eastAsiaTheme="minorEastAsia" w:cstheme="minorEastAsia"/>
                <w:b/>
                <w:bCs/>
                <w:color w:val="auto"/>
                <w:kern w:val="0"/>
                <w:sz w:val="24"/>
                <w:szCs w:val="24"/>
                <w:highlight w:val="none"/>
                <w:lang w:val="en-US" w:eastAsia="zh-CN" w:bidi="ar"/>
              </w:rPr>
              <w:t>胶装</w:t>
            </w:r>
            <w:r>
              <w:rPr>
                <w:rFonts w:hint="eastAsia" w:asciiTheme="minorEastAsia" w:hAnsiTheme="minorEastAsia" w:eastAsiaTheme="minorEastAsia" w:cstheme="minorEastAsia"/>
                <w:b w:val="0"/>
                <w:bCs w:val="0"/>
                <w:color w:val="auto"/>
                <w:kern w:val="0"/>
                <w:sz w:val="24"/>
                <w:szCs w:val="24"/>
                <w:highlight w:val="none"/>
                <w:lang w:val="en-US" w:eastAsia="zh-CN" w:bidi="ar"/>
              </w:rPr>
              <w:t>成册，所附材料须按规定填写，并按要求签字盖章，否则按废标处理。</w:t>
            </w:r>
          </w:p>
          <w:p w14:paraId="27565755">
            <w:pPr>
              <w:pageBreakBefore w:val="0"/>
              <w:kinsoku/>
              <w:overflowPunct/>
              <w:topLinePunct w:val="0"/>
              <w:bidi w:val="0"/>
              <w:snapToGrid w:val="0"/>
              <w:spacing w:line="440" w:lineRule="exac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rPr>
            </w:pPr>
            <w:r>
              <w:rPr>
                <w:rFonts w:hint="eastAsia" w:asciiTheme="minorEastAsia" w:hAnsiTheme="minorEastAsia" w:eastAsiaTheme="minorEastAsia" w:cstheme="minorEastAsia"/>
                <w:b w:val="0"/>
                <w:bCs w:val="0"/>
                <w:color w:val="auto"/>
                <w:kern w:val="0"/>
                <w:sz w:val="24"/>
                <w:szCs w:val="24"/>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00"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8</w:t>
            </w:r>
          </w:p>
        </w:tc>
        <w:tc>
          <w:tcPr>
            <w:tcW w:w="2698"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响应文件的密封和标记</w:t>
            </w:r>
          </w:p>
        </w:tc>
        <w:tc>
          <w:tcPr>
            <w:tcW w:w="7084"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密封要求：“响应文件”分正/副本（一正、一副）一起装袋密封</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，响应文件的密封袋的封口骑缝处应加盖</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供应商公章</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在</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密封袋上注明</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下列内容</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w:t>
            </w:r>
          </w:p>
          <w:p w14:paraId="79A9EFE5">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供应商名称：</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 xml:space="preserve">   </w:t>
            </w:r>
          </w:p>
          <w:p w14:paraId="33878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项目名称：</w:t>
            </w:r>
          </w:p>
          <w:p w14:paraId="52450BC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2026年7月24 日09时00分（北京时间），此时间以前不得开封。</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00"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9</w:t>
            </w:r>
          </w:p>
        </w:tc>
        <w:tc>
          <w:tcPr>
            <w:tcW w:w="2698"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响应</w:t>
            </w:r>
            <w:r>
              <w:rPr>
                <w:rFonts w:hint="eastAsia" w:asciiTheme="minorEastAsia" w:hAnsiTheme="minorEastAsia" w:eastAsiaTheme="minorEastAsia" w:cstheme="minorEastAsia"/>
                <w:sz w:val="24"/>
                <w:szCs w:val="22"/>
              </w:rPr>
              <w:t>文件提交</w:t>
            </w:r>
          </w:p>
        </w:tc>
        <w:tc>
          <w:tcPr>
            <w:tcW w:w="7084"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响应文件提交截止时间</w:t>
            </w:r>
            <w:r>
              <w:rPr>
                <w:rFonts w:hint="eastAsia" w:asciiTheme="minorEastAsia" w:hAnsiTheme="minorEastAsia" w:eastAsiaTheme="minorEastAsia" w:cstheme="minorEastAsia"/>
                <w:sz w:val="24"/>
                <w:szCs w:val="22"/>
              </w:rPr>
              <w:t>：</w:t>
            </w:r>
            <w:r>
              <w:rPr>
                <w:rFonts w:hint="eastAsia" w:asciiTheme="minorEastAsia" w:hAnsiTheme="minorEastAsia" w:eastAsiaTheme="minorEastAsia" w:cstheme="minorEastAsia"/>
                <w:sz w:val="24"/>
                <w:szCs w:val="22"/>
                <w:lang w:val="en-US" w:eastAsia="zh-CN"/>
              </w:rPr>
              <w:t>详见竞争性谈判公告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0"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10</w:t>
            </w:r>
          </w:p>
        </w:tc>
        <w:tc>
          <w:tcPr>
            <w:tcW w:w="2698"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时间和地点</w:t>
            </w:r>
          </w:p>
        </w:tc>
        <w:tc>
          <w:tcPr>
            <w:tcW w:w="7084"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详见竞争性谈判公告（同响应文件提交截止时间）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700"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11</w:t>
            </w:r>
          </w:p>
        </w:tc>
        <w:tc>
          <w:tcPr>
            <w:tcW w:w="2698"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评审方法</w:t>
            </w:r>
          </w:p>
        </w:tc>
        <w:tc>
          <w:tcPr>
            <w:tcW w:w="7084"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color w:val="auto"/>
                <w:sz w:val="24"/>
                <w:szCs w:val="24"/>
                <w:highlight w:val="none"/>
                <w:lang w:val="en-US" w:eastAsia="zh-CN"/>
              </w:rPr>
              <w:t>最低评标价法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700"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12</w:t>
            </w:r>
          </w:p>
        </w:tc>
        <w:tc>
          <w:tcPr>
            <w:tcW w:w="2698"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原件</w:t>
            </w:r>
          </w:p>
        </w:tc>
        <w:tc>
          <w:tcPr>
            <w:tcW w:w="7084"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本次</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时不要求供应商携带相关证件、业绩及奖项的原件（</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700"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13</w:t>
            </w:r>
          </w:p>
        </w:tc>
        <w:tc>
          <w:tcPr>
            <w:tcW w:w="2698"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确定成交候选供应商和成交供应商</w:t>
            </w:r>
          </w:p>
        </w:tc>
        <w:tc>
          <w:tcPr>
            <w:tcW w:w="7084"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谈判小组推荐成交候选供应商的数量：1家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 xml:space="preserve">确定成交供应商：采购人委托谈判小组确定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0"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14</w:t>
            </w:r>
          </w:p>
        </w:tc>
        <w:tc>
          <w:tcPr>
            <w:tcW w:w="2698"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媒介发布</w:t>
            </w:r>
          </w:p>
        </w:tc>
        <w:tc>
          <w:tcPr>
            <w:tcW w:w="7084"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本次竞争性</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公告在</w:t>
            </w:r>
            <w:r>
              <w:rPr>
                <w:rFonts w:hint="eastAsia" w:asciiTheme="minorEastAsia" w:hAnsiTheme="minorEastAsia" w:eastAsiaTheme="minorEastAsia" w:cstheme="minorEastAsia"/>
                <w:sz w:val="24"/>
                <w:szCs w:val="22"/>
                <w:lang w:val="en-US" w:eastAsia="zh-CN"/>
              </w:rPr>
              <w:t>桐城师范高等专科学校官网和安庆市公共资源交易服务网“限额以下项目”</w:t>
            </w:r>
            <w:r>
              <w:rPr>
                <w:rFonts w:hint="eastAsia" w:asciiTheme="minorEastAsia" w:hAnsiTheme="minorEastAsia" w:eastAsiaTheme="minorEastAsia" w:cstheme="minorEastAsia"/>
                <w:sz w:val="24"/>
                <w:szCs w:val="22"/>
              </w:rPr>
              <w:t>上发布和推送</w:t>
            </w:r>
            <w:r>
              <w:rPr>
                <w:rFonts w:hint="eastAsia" w:asciiTheme="minorEastAsia" w:hAnsiTheme="minorEastAsia" w:eastAsiaTheme="minorEastAsia" w:cstheme="minorEastAsia"/>
                <w:sz w:val="24"/>
                <w:szCs w:val="22"/>
                <w:lang w:eastAsia="zh-CN"/>
              </w:rPr>
              <w:t>。</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15</w:t>
            </w:r>
          </w:p>
        </w:tc>
        <w:tc>
          <w:tcPr>
            <w:tcW w:w="2698"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成交通知书发出的形式</w:t>
            </w:r>
          </w:p>
        </w:tc>
        <w:tc>
          <w:tcPr>
            <w:tcW w:w="7084"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16</w:t>
            </w:r>
          </w:p>
        </w:tc>
        <w:tc>
          <w:tcPr>
            <w:tcW w:w="2698"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保证金</w:t>
            </w:r>
          </w:p>
        </w:tc>
        <w:tc>
          <w:tcPr>
            <w:tcW w:w="7084"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p>
        </w:tc>
        <w:tc>
          <w:tcPr>
            <w:tcW w:w="2698"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履约保证金</w:t>
            </w:r>
          </w:p>
        </w:tc>
        <w:tc>
          <w:tcPr>
            <w:tcW w:w="7084"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strike w:val="0"/>
                <w:dstrike w:val="0"/>
                <w:color w:val="auto"/>
                <w:kern w:val="2"/>
                <w:sz w:val="24"/>
                <w:szCs w:val="24"/>
                <w:highlight w:val="none"/>
                <w:lang w:val="en-US" w:eastAsia="zh-CN" w:bidi="ar-SA"/>
              </w:rPr>
              <w:t>代理费用</w:t>
            </w:r>
          </w:p>
        </w:tc>
        <w:tc>
          <w:tcPr>
            <w:tcW w:w="7084" w:type="dxa"/>
            <w:tcBorders>
              <w:top w:val="single" w:color="auto" w:sz="4" w:space="0"/>
              <w:left w:val="single" w:color="auto" w:sz="4" w:space="0"/>
              <w:bottom w:val="single" w:color="auto" w:sz="4" w:space="0"/>
            </w:tcBorders>
            <w:shd w:val="clear" w:color="auto" w:fill="auto"/>
            <w:vAlign w:val="center"/>
          </w:tcPr>
          <w:p w14:paraId="735F0E7E">
            <w:pPr>
              <w:pStyle w:val="5"/>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4"/>
                <w:szCs w:val="40"/>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4"/>
                <w:szCs w:val="24"/>
                <w:highlight w:val="none"/>
                <w:lang w:val="en-US" w:eastAsia="zh-CN" w:bidi="ar-SA"/>
              </w:rPr>
              <w:t>代理费用按项目合同价款的</w:t>
            </w:r>
            <w:r>
              <w:rPr>
                <w:rFonts w:hint="eastAsia" w:asciiTheme="minorEastAsia" w:hAnsiTheme="minorEastAsia" w:eastAsiaTheme="minorEastAsia" w:cstheme="minorEastAsia"/>
                <w:b w:val="0"/>
                <w:color w:val="auto"/>
                <w:kern w:val="2"/>
                <w:sz w:val="24"/>
                <w:szCs w:val="24"/>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4"/>
                <w:szCs w:val="24"/>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17</w:t>
            </w:r>
          </w:p>
        </w:tc>
        <w:tc>
          <w:tcPr>
            <w:tcW w:w="2698"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质疑函递交方式、接收部门、联系电话和通讯地址</w:t>
            </w:r>
          </w:p>
        </w:tc>
        <w:tc>
          <w:tcPr>
            <w:tcW w:w="7084"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eastAsia="zh-CN"/>
              </w:rPr>
            </w:pPr>
            <w:r>
              <w:rPr>
                <w:rFonts w:hint="eastAsia" w:asciiTheme="minorEastAsia" w:hAnsiTheme="minorEastAsia" w:eastAsiaTheme="minorEastAsia" w:cstheme="minorEastAsia"/>
                <w:sz w:val="24"/>
                <w:szCs w:val="22"/>
              </w:rPr>
              <w:t>递交方式：</w:t>
            </w:r>
            <w:r>
              <w:rPr>
                <w:rFonts w:hint="eastAsia" w:asciiTheme="minorEastAsia" w:hAnsiTheme="minorEastAsia" w:eastAsiaTheme="minorEastAsia" w:cstheme="minorEastAsia"/>
                <w:sz w:val="24"/>
                <w:szCs w:val="22"/>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接收部门：</w:t>
            </w:r>
            <w:r>
              <w:rPr>
                <w:rFonts w:hint="eastAsia" w:asciiTheme="minorEastAsia" w:hAnsiTheme="minorEastAsia" w:eastAsiaTheme="minorEastAsia" w:cstheme="minorEastAsia"/>
                <w:sz w:val="24"/>
                <w:szCs w:val="22"/>
                <w:lang w:val="en-US" w:eastAsia="zh-CN"/>
              </w:rPr>
              <w:t>采购人或采购代理机构</w:t>
            </w:r>
            <w:r>
              <w:rPr>
                <w:rFonts w:hint="eastAsia" w:asciiTheme="minorEastAsia" w:hAnsiTheme="minorEastAsia" w:eastAsiaTheme="minorEastAsia" w:cstheme="minorEastAsia"/>
                <w:sz w:val="24"/>
                <w:szCs w:val="22"/>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联系电话：</w:t>
            </w:r>
            <w:r>
              <w:rPr>
                <w:rFonts w:hint="eastAsia" w:asciiTheme="minorEastAsia" w:hAnsiTheme="minorEastAsia" w:eastAsiaTheme="minorEastAsia" w:cstheme="minorEastAsia"/>
                <w:sz w:val="24"/>
                <w:szCs w:val="22"/>
                <w:lang w:val="en-US" w:eastAsia="zh-CN"/>
              </w:rPr>
              <w:t>0556-6181669</w:t>
            </w:r>
            <w:r>
              <w:rPr>
                <w:rFonts w:hint="eastAsia" w:asciiTheme="minorEastAsia" w:hAnsiTheme="minorEastAsia" w:eastAsiaTheme="minorEastAsia" w:cstheme="minorEastAsia"/>
                <w:sz w:val="24"/>
                <w:szCs w:val="22"/>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通讯地址：</w:t>
            </w:r>
            <w:r>
              <w:rPr>
                <w:rFonts w:hint="eastAsia" w:asciiTheme="minorEastAsia" w:hAnsiTheme="minorEastAsia" w:eastAsiaTheme="minorEastAsia" w:cstheme="minorEastAsia"/>
                <w:sz w:val="24"/>
                <w:szCs w:val="22"/>
                <w:lang w:val="en-US" w:eastAsia="zh-CN"/>
              </w:rPr>
              <w:t>安徽省桐城市经开区学苑路199号</w:t>
            </w:r>
            <w:r>
              <w:rPr>
                <w:rFonts w:hint="eastAsia" w:asciiTheme="minorEastAsia" w:hAnsiTheme="minorEastAsia" w:eastAsiaTheme="minorEastAsia" w:cstheme="minorEastAsia"/>
                <w:sz w:val="24"/>
                <w:szCs w:val="22"/>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700"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18</w:t>
            </w:r>
          </w:p>
        </w:tc>
        <w:tc>
          <w:tcPr>
            <w:tcW w:w="2698"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说明</w:t>
            </w:r>
          </w:p>
        </w:tc>
        <w:tc>
          <w:tcPr>
            <w:tcW w:w="7084"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1.</w:t>
            </w:r>
            <w:r>
              <w:rPr>
                <w:rFonts w:hint="eastAsia" w:asciiTheme="minorEastAsia" w:hAnsiTheme="minorEastAsia" w:eastAsiaTheme="minorEastAsia" w:cstheme="minorEastAsia"/>
                <w:sz w:val="24"/>
                <w:szCs w:val="22"/>
              </w:rPr>
              <w:t>本</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2.</w:t>
            </w:r>
            <w:r>
              <w:rPr>
                <w:rFonts w:hint="eastAsia" w:asciiTheme="minorEastAsia" w:hAnsiTheme="minorEastAsia" w:eastAsiaTheme="minorEastAsia" w:cstheme="minorEastAsia"/>
                <w:sz w:val="24"/>
                <w:szCs w:val="22"/>
              </w:rPr>
              <w:t>本项目所要求的业绩均须为中华人民共和国境内业绩（不含港澳台地区）</w:t>
            </w:r>
            <w:r>
              <w:rPr>
                <w:rFonts w:hint="eastAsia" w:asciiTheme="minorEastAsia" w:hAnsiTheme="minorEastAsia" w:eastAsiaTheme="minorEastAsia" w:cstheme="minorEastAsia"/>
                <w:sz w:val="24"/>
                <w:szCs w:val="22"/>
                <w:lang w:eastAsia="zh-CN"/>
              </w:rPr>
              <w:t>。</w:t>
            </w:r>
          </w:p>
        </w:tc>
      </w:tr>
    </w:tbl>
    <w:p w14:paraId="4C8DA0C0">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BB3528C">
      <w:pPr>
        <w:rPr>
          <w:rFonts w:hint="eastAsia" w:cs="Tahoma"/>
          <w:bCs/>
          <w:color w:val="auto"/>
          <w:kern w:val="0"/>
          <w:sz w:val="32"/>
          <w:szCs w:val="32"/>
          <w:highlight w:val="none"/>
          <w:lang w:val="en-US" w:eastAsia="zh-CN"/>
        </w:rPr>
      </w:pPr>
    </w:p>
    <w:p w14:paraId="1DB67D9B">
      <w:pPr>
        <w:pStyle w:val="16"/>
        <w:rPr>
          <w:rFonts w:hint="eastAsia"/>
          <w:lang w:val="zh-CN"/>
        </w:rPr>
      </w:pPr>
    </w:p>
    <w:p w14:paraId="5927C7E0">
      <w:pPr>
        <w:pStyle w:val="16"/>
        <w:rPr>
          <w:rFonts w:hint="eastAsia"/>
          <w:lang w:val="zh-CN"/>
        </w:rPr>
      </w:pPr>
    </w:p>
    <w:p w14:paraId="62EEFFFA">
      <w:pPr>
        <w:pStyle w:val="3"/>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2"/>
          <w:szCs w:val="32"/>
          <w:highlight w:val="none"/>
          <w:lang w:val="en-US" w:eastAsia="zh-CN"/>
        </w:rPr>
      </w:pPr>
      <w:r>
        <w:rPr>
          <w:rFonts w:hint="eastAsia" w:ascii="宋体" w:hAnsi="宋体" w:eastAsia="宋体" w:cs="宋体"/>
          <w:b/>
          <w:bCs/>
          <w:color w:val="auto"/>
          <w:kern w:val="2"/>
          <w:sz w:val="32"/>
          <w:szCs w:val="32"/>
          <w:highlight w:val="none"/>
          <w:lang w:val="zh-CN"/>
        </w:rPr>
        <w:t xml:space="preserve">第二节 </w:t>
      </w:r>
      <w:r>
        <w:rPr>
          <w:rFonts w:hint="eastAsia" w:ascii="宋体" w:hAnsi="宋体" w:eastAsia="宋体" w:cs="宋体"/>
          <w:b/>
          <w:bCs/>
          <w:color w:val="auto"/>
          <w:kern w:val="2"/>
          <w:sz w:val="32"/>
          <w:szCs w:val="32"/>
          <w:highlight w:val="none"/>
          <w:lang w:val="en-US" w:eastAsia="zh-CN"/>
        </w:rPr>
        <w:t>供应商</w:t>
      </w:r>
      <w:r>
        <w:rPr>
          <w:rFonts w:hint="eastAsia" w:ascii="宋体" w:hAnsi="宋体" w:eastAsia="宋体" w:cs="宋体"/>
          <w:b/>
          <w:bCs/>
          <w:color w:val="auto"/>
          <w:kern w:val="2"/>
          <w:sz w:val="32"/>
          <w:szCs w:val="32"/>
          <w:highlight w:val="none"/>
          <w:lang w:val="zh-CN"/>
        </w:rPr>
        <w:t>须知</w:t>
      </w:r>
      <w:bookmarkEnd w:id="36"/>
      <w:bookmarkEnd w:id="37"/>
      <w:bookmarkEnd w:id="38"/>
      <w:r>
        <w:rPr>
          <w:rFonts w:hint="eastAsia" w:ascii="宋体" w:hAnsi="宋体" w:eastAsia="宋体" w:cs="宋体"/>
          <w:b/>
          <w:bCs/>
          <w:color w:val="auto"/>
          <w:kern w:val="2"/>
          <w:sz w:val="32"/>
          <w:szCs w:val="32"/>
          <w:highlight w:val="none"/>
          <w:lang w:val="en-US" w:eastAsia="zh-CN"/>
        </w:rPr>
        <w:t>正文</w:t>
      </w:r>
    </w:p>
    <w:p w14:paraId="101F9319">
      <w:pPr>
        <w:spacing w:beforeAutospacing="0" w:line="360" w:lineRule="auto"/>
        <w:ind w:firstLine="241" w:firstLineChars="100"/>
        <w:outlineLvl w:val="2"/>
        <w:rPr>
          <w:rFonts w:asciiTheme="minorEastAsia" w:hAnsiTheme="minorEastAsia" w:eastAsiaTheme="minorEastAsia"/>
          <w:b/>
          <w:color w:val="auto"/>
          <w:sz w:val="24"/>
          <w:highlight w:val="none"/>
        </w:rPr>
      </w:pPr>
      <w:bookmarkStart w:id="42" w:name="_Toc21078"/>
      <w:bookmarkStart w:id="43" w:name="_Toc15055"/>
      <w:bookmarkStart w:id="44" w:name="_Toc25270"/>
      <w:bookmarkStart w:id="45" w:name="_Toc7325"/>
      <w:bookmarkStart w:id="46" w:name="_Toc439316919"/>
      <w:bookmarkStart w:id="47" w:name="_Toc439316873"/>
      <w:bookmarkStart w:id="48" w:name="_Toc10523"/>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49"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1.4.2以采购代理机构认可的方式获得了本项目的谈判文件。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49"/>
    <w:p w14:paraId="6B0A3654">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本项目的采购人已获得足以支付本次谈判后所签订的合同项下的资金。</w:t>
      </w:r>
    </w:p>
    <w:p w14:paraId="53D90C5F">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3.谈判费用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不论谈判的结果如何，供应商应承担其所有与准备和参加谈判有关的费用。</w:t>
      </w:r>
    </w:p>
    <w:p w14:paraId="65487714">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谈判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5.谈判文件构成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5.1谈判文件包括下列内容：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第一章  谈判邀请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3B7293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12569EE9">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w:t>
      </w:r>
      <w:r>
        <w:rPr>
          <w:rFonts w:hint="eastAsia" w:asciiTheme="minorEastAsia" w:hAnsiTheme="minorEastAsia" w:eastAsiaTheme="minorEastAsia"/>
          <w:color w:val="auto"/>
          <w:sz w:val="24"/>
          <w:highlight w:val="none"/>
          <w:lang w:val="en-US" w:eastAsia="zh-CN"/>
        </w:rPr>
        <w:t>供应商</w:t>
      </w:r>
      <w:r>
        <w:rPr>
          <w:rFonts w:asciiTheme="minorEastAsia" w:hAnsiTheme="minorEastAsia" w:eastAsiaTheme="minorEastAsia"/>
          <w:color w:val="auto"/>
          <w:sz w:val="24"/>
          <w:highlight w:val="none"/>
        </w:rPr>
        <w:t>提供样品。仅凭书面方式不能准确描述采购需求，或者需要对样品进行主观判断以确认是否满足采购需求等特殊情况除外。</w:t>
      </w:r>
    </w:p>
    <w:p w14:paraId="70492F7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如需提供样品，对样品相关要求见采购需求，对样品的评审方法及评审标准见谈判文件第四章。</w:t>
      </w:r>
    </w:p>
    <w:p w14:paraId="2C110B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文件所有的事项、格式、条款和技术规范等。</w:t>
      </w:r>
    </w:p>
    <w:p w14:paraId="5F7532EA">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6.谈判文件的澄清与修改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6.1供应商如对谈判文件内容有疑问，必须在供应商须知前附表规定的网上询问截止时间前以书面提问形式提交给采购代理机构。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发布更正公告的方式澄清或者修改谈判文件，更正公告的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谈判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6.4对于没有提出询问又参与了本项目谈判的供应商将被视为完全认同本谈判文件（含更正公告的内容）。</w:t>
      </w:r>
    </w:p>
    <w:p w14:paraId="479E2824">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7.谈判范围及响应文件中标准和计量单位的使用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w:t>
      </w:r>
      <w:r>
        <w:rPr>
          <w:rFonts w:hint="eastAsia" w:ascii="宋体" w:hAnsi="宋体" w:cs="Times New Roman"/>
          <w:color w:val="auto"/>
          <w:sz w:val="24"/>
          <w:highlight w:val="none"/>
          <w:lang w:val="en-US" w:eastAsia="zh-CN"/>
        </w:rPr>
        <w:t>本</w:t>
      </w:r>
      <w:r>
        <w:rPr>
          <w:rFonts w:hint="eastAsia" w:ascii="宋体" w:hAnsi="宋体" w:eastAsia="宋体" w:cs="Times New Roman"/>
          <w:color w:val="auto"/>
          <w:sz w:val="24"/>
          <w:highlight w:val="none"/>
          <w:lang w:val="en-US" w:eastAsia="zh-CN"/>
        </w:rPr>
        <w:t>项目</w:t>
      </w:r>
      <w:r>
        <w:rPr>
          <w:rFonts w:hint="eastAsia" w:ascii="宋体" w:hAnsi="宋体" w:cs="Times New Roman"/>
          <w:color w:val="auto"/>
          <w:sz w:val="24"/>
          <w:highlight w:val="none"/>
          <w:lang w:val="en-US" w:eastAsia="zh-CN"/>
        </w:rPr>
        <w:t>无</w:t>
      </w:r>
      <w:r>
        <w:rPr>
          <w:rFonts w:hint="eastAsia" w:ascii="宋体" w:hAnsi="宋体" w:eastAsia="宋体" w:cs="Times New Roman"/>
          <w:color w:val="auto"/>
          <w:sz w:val="24"/>
          <w:highlight w:val="none"/>
          <w:lang w:val="en-US" w:eastAsia="zh-CN"/>
        </w:rPr>
        <w:t>分包。</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7.2供应商应当对所投分包谈判文件中“采购需求”所列的所有内容进行响应，如仅响应所投包别中的部分内容，其所投包别的响应将被认定为响应无效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7.3无论谈判文件中是否要求，供应商所投货物及伴随的服务和工程均应符合国家强制性标准。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谈判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7.5除谈判文件中有特殊要求外，响应文件中所使用的计量单位，应采用中华人民共和国法定计量单位。</w:t>
      </w:r>
    </w:p>
    <w:p w14:paraId="328159C0">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8.1供应商应完整地按谈判文件提供的响应文件格式及要求编写响应文件，具体内容详见本项目响应文件格式的相关内容。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8.2供应商应提交谈判文件要求的证明文件，证明其响应内容符合谈判文件规定。该证明文件是响应文件的一部分。证明文件形式可以是文字资料、图纸和数据</w:t>
      </w:r>
      <w:bookmarkStart w:id="50" w:name="_Hlk11703583"/>
      <w:r>
        <w:rPr>
          <w:rFonts w:hint="eastAsia" w:ascii="宋体" w:hAnsi="宋体" w:eastAsia="宋体" w:cs="Times New Roman"/>
          <w:color w:val="auto"/>
          <w:sz w:val="24"/>
          <w:highlight w:val="none"/>
          <w:lang w:val="en-US" w:eastAsia="zh-CN"/>
        </w:rPr>
        <w:t>。</w:t>
      </w:r>
    </w:p>
    <w:bookmarkEnd w:id="50"/>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8.3为保证公平公正，除非谈判文件另有规定或说明，供应商对同一项目谈判时，不得同时提供备选谈判方案。</w:t>
      </w:r>
    </w:p>
    <w:p w14:paraId="05C862C2">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48BD5F6">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除谈判文件另有规定外，</w:t>
      </w:r>
      <w:r>
        <w:rPr>
          <w:rFonts w:hint="eastAsia" w:asciiTheme="minorEastAsia" w:hAnsiTheme="minorEastAsia" w:eastAsiaTheme="minorEastAsia"/>
          <w:color w:val="auto"/>
          <w:sz w:val="24"/>
          <w:highlight w:val="none"/>
        </w:rPr>
        <w:t>所有内容均应以人民币报价，供应商的谈判报价应遵守《中华人民共和国价格法》。</w:t>
      </w:r>
    </w:p>
    <w:p w14:paraId="0C9E639B">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除非谈判文件另有规定或经采购人同意支付的，最后报价均不得高于谈判文件（公告）列明的项目预算，否则其响应文件将被认定为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1A16B858">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5DFD6F68">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6AB8C721">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10.谈判保证金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10.1本项目不收取谈判保证金。</w:t>
      </w:r>
    </w:p>
    <w:p w14:paraId="3036E34B">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11.谈判有效期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11.1谈判有效期为从响应文件提交截止之日算起的日历天数，谈判有效期详见供应商须知前附表。</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11.2在谈判有效期内，供应商的谈判保持有效，供应商不得要求撤销或修改其响应文件。谈判有效期不满足要求的响应，其响应文件将被认定为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谈判有效期截止之前，要求供应商延长谈判有效期。接受该要求的供应商将不会被要求和允许修正其响应文件。供应商可以拒绝延长谈判有效期的要求，且不承担任何责任。上述要求和答复都应以书面形式提交。</w:t>
      </w:r>
    </w:p>
    <w:p w14:paraId="3C114C06">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12.1供应商应当在竞争性谈判公告规定的响应文件提交截止时间前，将密封完好的响应文件递交，逾期递交的响应文件将不予受理。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谈判小组在评审中发现的计算错误并进行核实的修改、按照谈判文件的变动情况和谈判小组的要求重新提交响应文件的，不在此列。</w:t>
      </w:r>
    </w:p>
    <w:p w14:paraId="58FB8011">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13.谈判小组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13.1本项目将依法组建谈判小组，谈判小组成员由3人以上（含）单数组成，谈判小组及其成员应当依照政府采购的有关规定履行相关职责和义务。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13.2谈判小组依法对响应文件进行评审，并根据谈判文件规定的程序、评定成交的标准等事项与实质性响应谈判文件要求的供应商进行谈判。</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13.3谈判小组应当从质量和服务均能满足谈判文件实质性响应要求的供应商中，按照评审办法和标准推荐成交候选人，并编写评审报告。</w:t>
      </w:r>
    </w:p>
    <w:p w14:paraId="3954067B">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14.响应文件的评审与谈判</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14.1采购人和采购代理机构将在竞争性谈判公告规定的时间和地点组织谈判。</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14.2竞争性谈判采用最低评标价法评审。</w:t>
      </w:r>
    </w:p>
    <w:p w14:paraId="6B838F9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最低评标价法，是指响应文件满足谈判文件全部实质性要求且最后报价最低的供应商为成交候选人的评标方法。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14.3谈判小组将按照谈判文件规定的评审方法和标准对供应商独立进行评审。评审程序如下：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。谈判小组对供应商必须满足和实质性响应的内容进行评审，供应商未实质性响应谈判文件要求导致响应无效的，谈判小组将以书面询标的方式告知有关供应商。</w:t>
      </w:r>
    </w:p>
    <w:p w14:paraId="135397F8">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w:t>
      </w:r>
      <w:r>
        <w:rPr>
          <w:rFonts w:hint="eastAsia" w:ascii="宋体" w:hAnsi="宋体" w:eastAsia="宋体" w:cs="宋体"/>
          <w:color w:val="auto"/>
          <w:sz w:val="24"/>
          <w:szCs w:val="24"/>
          <w:highlight w:val="yellow"/>
          <w:lang w:val="en-US" w:eastAsia="zh-CN"/>
        </w:rPr>
        <w:t>失信主体名单</w:t>
      </w:r>
      <w:r>
        <w:rPr>
          <w:rFonts w:hint="eastAsia" w:ascii="宋体" w:hAnsi="宋体" w:eastAsia="宋体" w:cs="宋体"/>
          <w:color w:val="auto"/>
          <w:sz w:val="24"/>
          <w:szCs w:val="24"/>
          <w:highlight w:val="none"/>
        </w:rPr>
        <w:t>、中国政府采购网(www.ccgp.gov.cn)政府采购严重违法失信行为记录名单及其他不符合《中华人民共和国政府采购法》第二十二条规定条件的供应商，其响应文件将被认定为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eastAsia="宋体" w:cs="Times New Roman"/>
          <w:b/>
          <w:bCs/>
          <w:color w:val="auto"/>
          <w:sz w:val="24"/>
          <w:highlight w:val="none"/>
          <w:lang w:val="en-US" w:eastAsia="zh-CN"/>
        </w:rPr>
        <w:t>谈判</w:t>
      </w:r>
      <w:r>
        <w:rPr>
          <w:rFonts w:hint="eastAsia" w:ascii="宋体" w:hAnsi="宋体" w:eastAsia="宋体" w:cs="Times New Roman"/>
          <w:color w:val="auto"/>
          <w:sz w:val="24"/>
          <w:highlight w:val="none"/>
          <w:lang w:val="en-US" w:eastAsia="zh-CN"/>
        </w:rPr>
        <w:t>。初审合格后，谈判小组将与单一供应商分别进行谈判，并给予所有参加谈判的供应商平等的谈判机会。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。谈判结束后，谈判小组应当要求所有继续参加谈判的供应商在规定时间内提交最后报价。如供应商未在规定时间内（30分钟内）提交最后报价，则视为供应商自愿退出谈判。</w:t>
      </w:r>
    </w:p>
    <w:p w14:paraId="26C9810D">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异常低价响应审查。根据《关于推进解决政府采购异常低价问题的通知》（财库〔2026〕2号），谈判小组进行异常低价响应审查。</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14.4.1为保证谈判活动顺利进行，供应商可派相关技术人员进行现场答疑。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谈判小组根据与供应商谈判情况可能实质性变动谈判文件的内容，包括采购需求中的技术、服务要求以及合同草案条款。谈判文件有实质性变动的，经采购人代表确认作为谈判文件的有效组成部分，谈判小组将以书面形式通知所有参加谈判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谈判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378D0F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14.4.4无论何种原因，即使供应商谈判时携带了证书材料的原件，但响应文件中未提供与之内容完全一致的扫描件的，谈判小组可以视同其未提供。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14.4.5谈判小组决定响应文件的响应性及符合性只根据响应文件本身的内容，而不寻求其他外部证据。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14.5供应商授权代表对谈判过程有疑义，以及认为采购人、采购代理机构相关工作人员有需要回避的情形的，应当场提出询问或者回避申请，并说明理由。</w:t>
      </w:r>
    </w:p>
    <w:p w14:paraId="2F63E236">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15.终止竞争性谈判</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15.1出现下列情况之一时，采购人和采购代理机构有权宣布终止竞争性谈判采购，并将理由通知所有供应商：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（1）有效供应商数量不足，导致本次谈判缺乏竞争的；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谈判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16.2谈判小组要求供应商澄清、说明或者更正响应文件应当以书面形式（询标）作出。供应商的澄清、说明或者更正应当由法定代表人或其授权代表签字或者加盖公章。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如有询标，授权代表（或法定代表人）现场接受询标。因授权代表联系不上、没有莅临现场等情形而无法接受谈判小组询标的，供应商自行承担相关风险。</w:t>
      </w:r>
    </w:p>
    <w:p w14:paraId="48E7B59A">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17.1谈判并不限定只进行二轮报价，如果谈判小组认为有必要，可以要求供应商进行多轮报价。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17.2在谈判内容不做实质性变更或重大调整的前提下，供应商下轮报价不得高于上一轮报价。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18.1谈判小组依据本项目谈判文件所约定的评审方法和标准，按照最后报价由低到高的顺序依次推荐成交候选人。最后报价相同的，则由谈判小组采取随机抽取方式确定。</w:t>
      </w:r>
    </w:p>
    <w:p w14:paraId="092B46A3">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19.1谈判小组按照最后报价由低到高的顺序和供应商须知前附表中规定确定成交候选人。按供应商须知前附表中规定，由谈判小组或采购人确定成交供应商。</w:t>
      </w:r>
    </w:p>
    <w:p w14:paraId="71229C72">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谈判小组成员签字的原始评审记录和评审结果编写的报告，评审报告由谈判小组全体成员签字。对评审结论持有异议的谈判小组成员可以书面方式阐述其不同意见和理由。谈判小组成员拒绝在评审报告上签字且不陈述其不同意见和理由的，视为同意评审结论。</w:t>
      </w:r>
    </w:p>
    <w:p w14:paraId="4479C70F">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22.1为体现“公开、公平、公正”的原则，谈判结束后，采购代理机构将在桐城师范高等专科学校官网</w:t>
      </w:r>
      <w:r>
        <w:rPr>
          <w:rFonts w:hint="eastAsia" w:asciiTheme="minorEastAsia" w:hAnsiTheme="minorEastAsia" w:eastAsiaTheme="minorEastAsia" w:cstheme="minorEastAsia"/>
          <w:sz w:val="24"/>
          <w:szCs w:val="22"/>
          <w:lang w:val="en-US" w:eastAsia="zh-CN"/>
        </w:rPr>
        <w:t>tctc.edu.cn</w:t>
      </w:r>
      <w:r>
        <w:rPr>
          <w:rFonts w:hint="eastAsia" w:ascii="宋体" w:hAnsi="宋体" w:eastAsia="宋体" w:cs="Times New Roman"/>
          <w:color w:val="auto"/>
          <w:sz w:val="24"/>
          <w:highlight w:val="none"/>
          <w:lang w:val="en-US" w:eastAsia="zh-CN"/>
        </w:rPr>
        <w:t>和安庆市公共资源交易服务网</w:t>
      </w:r>
      <w:r>
        <w:rPr>
          <w:rFonts w:hint="eastAsia" w:asciiTheme="minorEastAsia" w:hAnsiTheme="minorEastAsia" w:eastAsiaTheme="minorEastAsia" w:cstheme="minorEastAsia"/>
          <w:sz w:val="24"/>
          <w:szCs w:val="22"/>
          <w:lang w:val="en-US" w:eastAsia="zh-CN"/>
        </w:rPr>
        <w:t>https://aqggzy.anqing.gov.cn/</w:t>
      </w:r>
      <w:r>
        <w:rPr>
          <w:rFonts w:hint="eastAsia" w:ascii="宋体" w:hAnsi="宋体" w:eastAsia="宋体" w:cs="Times New Roman"/>
          <w:color w:val="auto"/>
          <w:sz w:val="24"/>
          <w:highlight w:val="none"/>
          <w:lang w:val="en-US" w:eastAsia="zh-CN"/>
        </w:rPr>
        <w:t>“限额以下项目”上发布成交结果公告。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24.告知谈判结果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27.2谈判文件、成交供应商的响应文件及其澄清文件等，均为签订合同的依据。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29.1供应商认为谈判文件、采购过程和成交结果使自己的权益受到损害的，可以在知道或者应知其权益受到损害之日起七个工作日内，以书面形式向采购人或其委托的采购代理机构提出质疑。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ind w:firstLine="241" w:firstLineChars="100"/>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ind w:firstLine="241" w:firstLineChars="100"/>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9"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本谈判文件第五章合同格式内容以供参考，具体合同内容以采购人与成交供应商所签订的合同为准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bookmarkEnd w:id="42"/>
    <w:bookmarkEnd w:id="43"/>
    <w:bookmarkEnd w:id="44"/>
    <w:bookmarkEnd w:id="45"/>
    <w:bookmarkEnd w:id="46"/>
    <w:bookmarkEnd w:id="47"/>
    <w:bookmarkEnd w:id="48"/>
    <w:p w14:paraId="1C9EA266">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bookmarkStart w:id="51" w:name="_Toc12353"/>
      <w:r>
        <w:rPr>
          <w:rFonts w:hint="eastAsia" w:ascii="宋体" w:hAnsi="宋体" w:eastAsia="宋体" w:cs="宋体"/>
          <w:b/>
          <w:bCs/>
          <w:color w:val="auto"/>
          <w:kern w:val="2"/>
          <w:sz w:val="36"/>
          <w:szCs w:val="36"/>
          <w:highlight w:val="none"/>
          <w:lang w:val="en-US" w:eastAsia="zh-CN"/>
        </w:rPr>
        <w:t>第三章 采购需求</w:t>
      </w:r>
      <w:bookmarkEnd w:id="51"/>
    </w:p>
    <w:p w14:paraId="053A50F9">
      <w:pPr>
        <w:spacing w:beforeAutospacing="0" w:line="360" w:lineRule="auto"/>
        <w:outlineLvl w:val="1"/>
        <w:rPr>
          <w:rFonts w:ascii="宋体" w:hAnsi="宋体" w:eastAsia="宋体"/>
          <w:b/>
          <w:color w:val="auto"/>
          <w:sz w:val="24"/>
          <w:szCs w:val="18"/>
          <w:highlight w:val="none"/>
        </w:rPr>
      </w:pPr>
      <w:bookmarkStart w:id="52" w:name="_Toc16371"/>
      <w:r>
        <w:rPr>
          <w:rFonts w:hint="eastAsia" w:ascii="宋体" w:hAnsi="宋体" w:eastAsia="宋体" w:cs="宋体"/>
          <w:b/>
          <w:bCs/>
          <w:sz w:val="24"/>
          <w:szCs w:val="24"/>
          <w:lang w:val="en-US" w:eastAsia="zh-CN" w:bidi="ar-SA"/>
        </w:rPr>
        <w:t>一、</w:t>
      </w:r>
      <w:r>
        <w:rPr>
          <w:rFonts w:hint="eastAsia" w:ascii="宋体" w:hAnsi="宋体" w:eastAsia="宋体"/>
          <w:b/>
          <w:color w:val="auto"/>
          <w:sz w:val="24"/>
          <w:szCs w:val="18"/>
          <w:highlight w:val="none"/>
        </w:rPr>
        <w:t>采购需求前附表</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75F8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3DE7C6">
            <w:pPr>
              <w:pStyle w:val="141"/>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7B4B4AC5">
            <w:pPr>
              <w:pStyle w:val="1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04EE1D55">
            <w:pPr>
              <w:pStyle w:val="1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65B0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3E480F7">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57F9241">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797C56CF">
            <w:pPr>
              <w:pStyle w:val="145"/>
              <w:widowControl w:val="0"/>
              <w:spacing w:before="0" w:beforeAutospacing="0" w:after="0" w:afterAutospacing="0" w:line="360" w:lineRule="auto"/>
              <w:jc w:val="center"/>
              <w:rPr>
                <w:rFonts w:hint="default" w:ascii="宋体" w:hAnsi="宋体" w:eastAsia="宋体"/>
                <w:b w:val="0"/>
                <w:color w:val="auto"/>
                <w:sz w:val="24"/>
                <w:highlight w:val="none"/>
                <w:u w:val="single"/>
                <w:lang w:val="en-US"/>
              </w:rPr>
            </w:pPr>
            <w:r>
              <w:rPr>
                <w:rFonts w:hint="eastAsia" w:ascii="宋体" w:hAnsi="宋体"/>
                <w:b w:val="0"/>
                <w:color w:val="auto"/>
                <w:sz w:val="24"/>
                <w:highlight w:val="none"/>
                <w:u w:val="none"/>
                <w:lang w:val="en-US" w:eastAsia="zh-CN"/>
              </w:rPr>
              <w:t>完成本项目全部内容并验收合格后一次性支付</w:t>
            </w:r>
          </w:p>
        </w:tc>
      </w:tr>
      <w:tr w14:paraId="1793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0E95396">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05D81890">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w:t>
            </w:r>
            <w:r>
              <w:rPr>
                <w:rFonts w:hint="eastAsia" w:ascii="宋体" w:hAnsi="宋体"/>
                <w:b w:val="0"/>
                <w:color w:val="auto"/>
                <w:sz w:val="24"/>
                <w:highlight w:val="none"/>
                <w:lang w:val="en-US" w:eastAsia="zh-CN"/>
              </w:rPr>
              <w:t>及安装</w:t>
            </w:r>
            <w:r>
              <w:rPr>
                <w:rFonts w:hint="eastAsia" w:ascii="宋体" w:hAnsi="宋体" w:eastAsia="宋体"/>
                <w:b w:val="0"/>
                <w:color w:val="auto"/>
                <w:sz w:val="24"/>
                <w:highlight w:val="none"/>
              </w:rPr>
              <w:t>地点</w:t>
            </w:r>
          </w:p>
        </w:tc>
        <w:tc>
          <w:tcPr>
            <w:tcW w:w="3217" w:type="pct"/>
            <w:vAlign w:val="center"/>
          </w:tcPr>
          <w:p w14:paraId="6E190F26">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桐城师范高等专科学校</w:t>
            </w:r>
          </w:p>
        </w:tc>
      </w:tr>
      <w:tr w14:paraId="1E6D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2CDF8DB">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1A2DAC67">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w:t>
            </w:r>
            <w:r>
              <w:rPr>
                <w:rFonts w:hint="eastAsia" w:ascii="宋体" w:hAnsi="宋体"/>
                <w:b w:val="0"/>
                <w:color w:val="auto"/>
                <w:sz w:val="24"/>
                <w:highlight w:val="none"/>
                <w:lang w:val="en-US" w:eastAsia="zh-CN"/>
              </w:rPr>
              <w:t>及安装</w:t>
            </w:r>
            <w:r>
              <w:rPr>
                <w:rFonts w:hint="eastAsia" w:ascii="宋体" w:hAnsi="宋体" w:eastAsia="宋体"/>
                <w:b w:val="0"/>
                <w:color w:val="auto"/>
                <w:sz w:val="24"/>
                <w:highlight w:val="none"/>
              </w:rPr>
              <w:t>期限</w:t>
            </w:r>
          </w:p>
        </w:tc>
        <w:tc>
          <w:tcPr>
            <w:tcW w:w="3217" w:type="pct"/>
            <w:vAlign w:val="center"/>
          </w:tcPr>
          <w:p w14:paraId="6D119524">
            <w:pPr>
              <w:pStyle w:val="145"/>
              <w:widowControl w:val="0"/>
              <w:spacing w:before="0" w:beforeAutospacing="0" w:after="0" w:afterAutospacing="0" w:line="360" w:lineRule="auto"/>
              <w:jc w:val="center"/>
              <w:rPr>
                <w:rFonts w:hint="eastAsia" w:ascii="宋体" w:hAnsi="宋体"/>
                <w:b w:val="0"/>
                <w:color w:val="auto"/>
                <w:sz w:val="24"/>
                <w:highlight w:val="none"/>
                <w:u w:val="none"/>
                <w:lang w:val="en-US" w:eastAsia="zh-CN"/>
              </w:rPr>
            </w:pPr>
            <w:r>
              <w:rPr>
                <w:rFonts w:hint="eastAsia" w:ascii="宋体" w:hAnsi="宋体"/>
                <w:b w:val="0"/>
                <w:color w:val="auto"/>
                <w:sz w:val="24"/>
                <w:highlight w:val="none"/>
                <w:u w:val="none"/>
                <w:lang w:val="en-US" w:eastAsia="zh-CN"/>
              </w:rPr>
              <w:t>2026年8月31日前完成生产备货，</w:t>
            </w:r>
          </w:p>
          <w:p w14:paraId="727D0143">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具体供货时间待学校通知</w:t>
            </w:r>
          </w:p>
        </w:tc>
      </w:tr>
      <w:tr w14:paraId="2FFA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97F673A">
            <w:pPr>
              <w:pStyle w:val="141"/>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4</w:t>
            </w:r>
          </w:p>
        </w:tc>
        <w:tc>
          <w:tcPr>
            <w:tcW w:w="1192" w:type="pct"/>
            <w:vAlign w:val="center"/>
          </w:tcPr>
          <w:p w14:paraId="55158539">
            <w:pPr>
              <w:pStyle w:val="145"/>
              <w:widowControl w:val="0"/>
              <w:spacing w:before="0" w:beforeAutospacing="0" w:after="0" w:afterAutospacing="0" w:line="360" w:lineRule="auto"/>
              <w:rPr>
                <w:rFonts w:hint="default" w:ascii="宋体" w:hAnsi="宋体" w:eastAsia="宋体"/>
                <w:b w:val="0"/>
                <w:color w:val="auto"/>
                <w:sz w:val="24"/>
                <w:highlight w:val="none"/>
                <w:lang w:val="en-US" w:eastAsia="zh-CN"/>
              </w:rPr>
            </w:pPr>
            <w:r>
              <w:rPr>
                <w:rFonts w:hint="eastAsia" w:ascii="宋体" w:hAnsi="宋体"/>
                <w:b w:val="0"/>
                <w:color w:val="auto"/>
                <w:sz w:val="24"/>
                <w:highlight w:val="none"/>
                <w:lang w:val="en-US" w:eastAsia="zh-CN"/>
              </w:rPr>
              <w:t>免费质保期</w:t>
            </w:r>
          </w:p>
        </w:tc>
        <w:tc>
          <w:tcPr>
            <w:tcW w:w="3217" w:type="pct"/>
            <w:vAlign w:val="center"/>
          </w:tcPr>
          <w:p w14:paraId="706017A5">
            <w:pPr>
              <w:pStyle w:val="145"/>
              <w:widowControl w:val="0"/>
              <w:spacing w:before="0" w:beforeAutospacing="0" w:after="0" w:afterAutospacing="0" w:line="360" w:lineRule="auto"/>
              <w:jc w:val="center"/>
              <w:rPr>
                <w:rFonts w:hint="eastAsia" w:ascii="宋体" w:hAnsi="宋体"/>
                <w:b w:val="0"/>
                <w:color w:val="auto"/>
                <w:sz w:val="24"/>
                <w:highlight w:val="none"/>
                <w:u w:val="none"/>
                <w:lang w:val="en-US" w:eastAsia="zh-CN"/>
              </w:rPr>
            </w:pPr>
            <w:r>
              <w:rPr>
                <w:rFonts w:hint="eastAsia" w:ascii="宋体" w:hAnsi="宋体"/>
                <w:b w:val="0"/>
                <w:color w:val="auto"/>
                <w:sz w:val="24"/>
                <w:highlight w:val="none"/>
                <w:u w:val="none"/>
                <w:lang w:val="en-US" w:eastAsia="zh-CN"/>
              </w:rPr>
              <w:t>服装使用一个月内出现质量问题，</w:t>
            </w:r>
          </w:p>
          <w:p w14:paraId="3A809A52">
            <w:pPr>
              <w:pStyle w:val="145"/>
              <w:widowControl w:val="0"/>
              <w:spacing w:before="0" w:beforeAutospacing="0" w:after="0" w:afterAutospacing="0" w:line="360" w:lineRule="auto"/>
              <w:jc w:val="center"/>
              <w:rPr>
                <w:rFonts w:hint="default" w:ascii="宋体" w:hAnsi="宋体"/>
                <w:b w:val="0"/>
                <w:color w:val="auto"/>
                <w:sz w:val="24"/>
                <w:highlight w:val="none"/>
                <w:u w:val="none"/>
                <w:lang w:val="en-US" w:eastAsia="zh-CN"/>
              </w:rPr>
            </w:pPr>
            <w:r>
              <w:rPr>
                <w:rFonts w:hint="eastAsia" w:ascii="宋体" w:hAnsi="宋体"/>
                <w:b w:val="0"/>
                <w:color w:val="auto"/>
                <w:sz w:val="24"/>
                <w:highlight w:val="none"/>
                <w:u w:val="none"/>
                <w:lang w:val="en-US" w:eastAsia="zh-CN"/>
              </w:rPr>
              <w:t>中标单位无偿更换</w:t>
            </w:r>
          </w:p>
        </w:tc>
      </w:tr>
    </w:tbl>
    <w:p w14:paraId="7A6FE4B2">
      <w:pPr>
        <w:spacing w:beforeAutospacing="0" w:line="360" w:lineRule="auto"/>
        <w:outlineLvl w:val="1"/>
        <w:rPr>
          <w:rFonts w:hint="eastAsia" w:ascii="宋体" w:hAnsi="宋体" w:eastAsia="宋体" w:cs="宋体"/>
          <w:b/>
          <w:bCs/>
          <w:sz w:val="24"/>
          <w:szCs w:val="24"/>
          <w:lang w:val="en-US" w:eastAsia="zh-CN" w:bidi="ar-SA"/>
        </w:rPr>
      </w:pPr>
    </w:p>
    <w:p w14:paraId="3EB9B7EC">
      <w:pPr>
        <w:spacing w:beforeAutospacing="0" w:line="360" w:lineRule="auto"/>
        <w:outlineLvl w:val="1"/>
        <w:rPr>
          <w:rFonts w:hint="default"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二、</w:t>
      </w:r>
      <w:r>
        <w:rPr>
          <w:rFonts w:hint="eastAsia" w:ascii="宋体" w:hAnsi="宋体" w:cs="宋体"/>
          <w:b/>
          <w:bCs/>
          <w:sz w:val="24"/>
          <w:szCs w:val="24"/>
          <w:lang w:val="en-US" w:eastAsia="zh-CN" w:bidi="ar-SA"/>
        </w:rPr>
        <w:t>采购内容</w:t>
      </w:r>
    </w:p>
    <w:p w14:paraId="0BEE4896">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1、本次采购需求中军训服装暂定数量为2600套（具体采购数量，以实际需要购买的学生数为准），响应人须按每套军训服装进行报价。每套军训服装最高限价为100元/人/套。</w:t>
      </w:r>
    </w:p>
    <w:p w14:paraId="5A781AFB">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2、每套军训服装包含：2件短袖T恤、1件长袖上衣、2条长裤、1顶军训帽、1双军训鞋、1条内腰带、1条外腰带。</w:t>
      </w:r>
    </w:p>
    <w:p w14:paraId="336546F0">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3、最终结算金额按成交金额及具体采购数量据实结算，费用由成交供应商按成交金额自行向学生收取。服装需按个人分包，并负责服装发放，采购人不再支付任何其他的额外费用，请响应人自行考虑报价风险。</w:t>
      </w:r>
    </w:p>
    <w:p w14:paraId="2228B204">
      <w:pPr>
        <w:adjustRightInd/>
        <w:spacing w:line="360" w:lineRule="auto"/>
        <w:rPr>
          <w:rFonts w:hint="eastAsia" w:ascii="宋体" w:hAnsi="宋体" w:eastAsia="宋体" w:cs="宋体"/>
          <w:kern w:val="2"/>
          <w:sz w:val="24"/>
          <w:szCs w:val="24"/>
          <w:lang w:val="en-US" w:eastAsia="zh-CN"/>
        </w:rPr>
      </w:pPr>
    </w:p>
    <w:p w14:paraId="3F742958">
      <w:pPr>
        <w:adjustRightInd/>
        <w:spacing w:line="360" w:lineRule="auto"/>
        <w:rPr>
          <w:rFonts w:hint="eastAsia" w:ascii="宋体" w:hAnsi="宋体" w:eastAsia="宋体" w:cs="宋体"/>
          <w:kern w:val="2"/>
          <w:sz w:val="24"/>
          <w:szCs w:val="24"/>
          <w:lang w:val="en-US" w:eastAsia="zh-CN"/>
        </w:rPr>
      </w:pPr>
    </w:p>
    <w:p w14:paraId="1D986EEB">
      <w:pPr>
        <w:adjustRightInd/>
        <w:spacing w:line="360" w:lineRule="auto"/>
        <w:rPr>
          <w:rFonts w:hint="eastAsia" w:ascii="宋体" w:hAnsi="宋体" w:eastAsia="宋体" w:cs="宋体"/>
          <w:b/>
          <w:bCs/>
          <w:kern w:val="2"/>
          <w:sz w:val="24"/>
          <w:szCs w:val="24"/>
          <w:lang w:val="en-US" w:eastAsia="zh-CN"/>
        </w:rPr>
      </w:pPr>
      <w:r>
        <w:rPr>
          <w:rFonts w:hint="eastAsia" w:ascii="宋体" w:hAnsi="宋体" w:eastAsia="宋体" w:cs="宋体"/>
          <w:b/>
          <w:bCs/>
          <w:kern w:val="2"/>
          <w:sz w:val="24"/>
          <w:szCs w:val="24"/>
          <w:lang w:val="en-US" w:eastAsia="zh-CN"/>
        </w:rPr>
        <w:t>三、质量要求</w:t>
      </w:r>
    </w:p>
    <w:p w14:paraId="2726278A">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1、产品符合国家的质量标准 GB18401《国家纺织产品基本安全技术规范》中B类产品规定的要求（见下表），不合格的面料或原材料不可用于制作工作服，且满足“不透光、缩水少、结实牢靠安全无异味”的使用要求，服装使用一个月内出现质量问题，投标人提供无偿更换服务。</w:t>
      </w:r>
    </w:p>
    <w:p w14:paraId="720AA3FB">
      <w:pPr>
        <w:adjustRightInd/>
        <w:spacing w:line="360" w:lineRule="auto"/>
        <w:ind w:firstLine="480" w:firstLineChars="200"/>
        <w:rPr>
          <w:rFonts w:hint="eastAsia" w:ascii="宋体" w:hAnsi="宋体" w:eastAsia="宋体" w:cs="宋体"/>
          <w:kern w:val="2"/>
          <w:sz w:val="24"/>
          <w:szCs w:val="24"/>
          <w:lang w:val="en-US" w:eastAsia="zh-CN"/>
        </w:rPr>
      </w:pPr>
    </w:p>
    <w:p w14:paraId="7F129920">
      <w:pPr>
        <w:adjustRightInd/>
        <w:spacing w:line="360" w:lineRule="auto"/>
        <w:ind w:firstLine="480" w:firstLineChars="200"/>
        <w:rPr>
          <w:rFonts w:hint="eastAsia" w:ascii="宋体" w:hAnsi="宋体" w:eastAsia="宋体" w:cs="宋体"/>
          <w:kern w:val="2"/>
          <w:sz w:val="24"/>
          <w:szCs w:val="24"/>
          <w:lang w:val="en-US" w:eastAsia="zh-CN"/>
        </w:rPr>
      </w:pPr>
    </w:p>
    <w:p w14:paraId="2EEECF1B">
      <w:pPr>
        <w:adjustRightInd/>
        <w:spacing w:line="360" w:lineRule="auto"/>
        <w:rPr>
          <w:rFonts w:hint="eastAsia" w:ascii="宋体" w:hAnsi="宋体" w:eastAsia="宋体" w:cs="宋体"/>
          <w:kern w:val="2"/>
          <w:sz w:val="24"/>
          <w:szCs w:val="24"/>
          <w:lang w:val="en-US" w:eastAsia="zh-CN"/>
        </w:rPr>
      </w:pPr>
    </w:p>
    <w:tbl>
      <w:tblPr>
        <w:tblStyle w:val="41"/>
        <w:tblpPr w:leftFromText="180" w:rightFromText="180" w:vertAnchor="text" w:horzAnchor="page" w:tblpXSpec="center" w:tblpY="165"/>
        <w:tblOverlap w:val="never"/>
        <w:tblW w:w="9299" w:type="dxa"/>
        <w:jc w:val="center"/>
        <w:tblLayout w:type="autofit"/>
        <w:tblCellMar>
          <w:top w:w="0" w:type="dxa"/>
          <w:left w:w="108" w:type="dxa"/>
          <w:bottom w:w="0" w:type="dxa"/>
          <w:right w:w="108" w:type="dxa"/>
        </w:tblCellMar>
      </w:tblPr>
      <w:tblGrid>
        <w:gridCol w:w="4247"/>
        <w:gridCol w:w="3435"/>
        <w:gridCol w:w="1617"/>
      </w:tblGrid>
      <w:tr w14:paraId="3C682CC7">
        <w:tblPrEx>
          <w:tblCellMar>
            <w:top w:w="0" w:type="dxa"/>
            <w:left w:w="108" w:type="dxa"/>
            <w:bottom w:w="0" w:type="dxa"/>
            <w:right w:w="108" w:type="dxa"/>
          </w:tblCellMar>
        </w:tblPrEx>
        <w:trPr>
          <w:trHeight w:val="90" w:hRule="atLeast"/>
          <w:jc w:val="center"/>
        </w:trPr>
        <w:tc>
          <w:tcPr>
            <w:tcW w:w="7682" w:type="dxa"/>
            <w:gridSpan w:val="2"/>
            <w:tcBorders>
              <w:top w:val="single" w:color="auto" w:sz="4" w:space="0"/>
              <w:left w:val="single" w:color="auto" w:sz="4" w:space="0"/>
              <w:bottom w:val="single" w:color="auto" w:sz="4" w:space="0"/>
              <w:right w:val="single" w:color="auto" w:sz="4" w:space="0"/>
            </w:tcBorders>
            <w:noWrap w:val="0"/>
            <w:vAlign w:val="center"/>
          </w:tcPr>
          <w:p w14:paraId="5DD405C6">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项   目</w:t>
            </w:r>
          </w:p>
        </w:tc>
        <w:tc>
          <w:tcPr>
            <w:tcW w:w="1617" w:type="dxa"/>
            <w:tcBorders>
              <w:top w:val="single" w:color="auto" w:sz="4" w:space="0"/>
              <w:left w:val="nil"/>
              <w:bottom w:val="single" w:color="auto" w:sz="4" w:space="0"/>
              <w:right w:val="single" w:color="auto" w:sz="4" w:space="0"/>
            </w:tcBorders>
            <w:noWrap w:val="0"/>
            <w:vAlign w:val="center"/>
          </w:tcPr>
          <w:p w14:paraId="1872E4F3">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B类标准</w:t>
            </w:r>
          </w:p>
        </w:tc>
      </w:tr>
      <w:tr w14:paraId="461BF072">
        <w:tblPrEx>
          <w:tblCellMar>
            <w:top w:w="0" w:type="dxa"/>
            <w:left w:w="108" w:type="dxa"/>
            <w:bottom w:w="0" w:type="dxa"/>
            <w:right w:w="108" w:type="dxa"/>
          </w:tblCellMar>
        </w:tblPrEx>
        <w:trPr>
          <w:trHeight w:val="375" w:hRule="atLeast"/>
          <w:jc w:val="center"/>
        </w:trPr>
        <w:tc>
          <w:tcPr>
            <w:tcW w:w="7682" w:type="dxa"/>
            <w:gridSpan w:val="2"/>
            <w:tcBorders>
              <w:top w:val="single" w:color="auto" w:sz="4" w:space="0"/>
              <w:left w:val="single" w:color="auto" w:sz="4" w:space="0"/>
              <w:bottom w:val="single" w:color="auto" w:sz="4" w:space="0"/>
              <w:right w:val="single" w:color="auto" w:sz="4" w:space="0"/>
            </w:tcBorders>
            <w:noWrap w:val="0"/>
            <w:vAlign w:val="center"/>
          </w:tcPr>
          <w:p w14:paraId="6BDA1413">
            <w:pPr>
              <w:widowControl/>
              <w:jc w:val="center"/>
              <w:rPr>
                <w:rFonts w:ascii="宋体" w:hAnsi="宋体" w:cs="宋体"/>
                <w:color w:val="000000"/>
                <w:kern w:val="0"/>
                <w:sz w:val="24"/>
              </w:rPr>
            </w:pPr>
            <w:r>
              <w:rPr>
                <w:rFonts w:hint="eastAsia" w:ascii="宋体" w:hAnsi="宋体" w:cs="宋体"/>
                <w:color w:val="000000"/>
                <w:kern w:val="0"/>
                <w:sz w:val="24"/>
              </w:rPr>
              <w:t>甲醛含量（mg/kg）≤</w:t>
            </w:r>
          </w:p>
        </w:tc>
        <w:tc>
          <w:tcPr>
            <w:tcW w:w="1617" w:type="dxa"/>
            <w:tcBorders>
              <w:top w:val="nil"/>
              <w:left w:val="nil"/>
              <w:bottom w:val="single" w:color="auto" w:sz="4" w:space="0"/>
              <w:right w:val="single" w:color="auto" w:sz="4" w:space="0"/>
            </w:tcBorders>
            <w:noWrap w:val="0"/>
            <w:vAlign w:val="center"/>
          </w:tcPr>
          <w:p w14:paraId="558950B7">
            <w:pPr>
              <w:widowControl/>
              <w:jc w:val="center"/>
              <w:rPr>
                <w:rFonts w:ascii="宋体" w:hAnsi="宋体" w:cs="宋体"/>
                <w:color w:val="000000"/>
                <w:kern w:val="0"/>
                <w:sz w:val="24"/>
              </w:rPr>
            </w:pPr>
            <w:r>
              <w:rPr>
                <w:rFonts w:hint="eastAsia" w:ascii="宋体" w:hAnsi="宋体" w:cs="宋体"/>
                <w:color w:val="000000"/>
                <w:kern w:val="0"/>
                <w:sz w:val="24"/>
              </w:rPr>
              <w:t>75</w:t>
            </w:r>
          </w:p>
        </w:tc>
      </w:tr>
      <w:tr w14:paraId="0D7B74ED">
        <w:tblPrEx>
          <w:tblCellMar>
            <w:top w:w="0" w:type="dxa"/>
            <w:left w:w="108" w:type="dxa"/>
            <w:bottom w:w="0" w:type="dxa"/>
            <w:right w:w="108" w:type="dxa"/>
          </w:tblCellMar>
        </w:tblPrEx>
        <w:trPr>
          <w:trHeight w:val="397" w:hRule="atLeast"/>
          <w:jc w:val="center"/>
        </w:trPr>
        <w:tc>
          <w:tcPr>
            <w:tcW w:w="7682" w:type="dxa"/>
            <w:gridSpan w:val="2"/>
            <w:tcBorders>
              <w:top w:val="single" w:color="auto" w:sz="4" w:space="0"/>
              <w:left w:val="single" w:color="auto" w:sz="4" w:space="0"/>
              <w:bottom w:val="single" w:color="auto" w:sz="4" w:space="0"/>
              <w:right w:val="single" w:color="auto" w:sz="4" w:space="0"/>
            </w:tcBorders>
            <w:noWrap w:val="0"/>
            <w:vAlign w:val="center"/>
          </w:tcPr>
          <w:p w14:paraId="16B6A22B">
            <w:pPr>
              <w:widowControl/>
              <w:jc w:val="center"/>
              <w:rPr>
                <w:rFonts w:ascii="宋体" w:hAnsi="宋体" w:cs="宋体"/>
                <w:color w:val="000000"/>
                <w:kern w:val="0"/>
                <w:sz w:val="24"/>
              </w:rPr>
            </w:pPr>
            <w:r>
              <w:rPr>
                <w:rFonts w:hint="eastAsia" w:ascii="宋体" w:hAnsi="宋体" w:cs="宋体"/>
                <w:color w:val="000000"/>
                <w:kern w:val="0"/>
                <w:sz w:val="24"/>
              </w:rPr>
              <w:t>PH值</w:t>
            </w:r>
          </w:p>
        </w:tc>
        <w:tc>
          <w:tcPr>
            <w:tcW w:w="1617" w:type="dxa"/>
            <w:tcBorders>
              <w:top w:val="nil"/>
              <w:left w:val="nil"/>
              <w:bottom w:val="single" w:color="auto" w:sz="4" w:space="0"/>
              <w:right w:val="single" w:color="auto" w:sz="4" w:space="0"/>
            </w:tcBorders>
            <w:noWrap w:val="0"/>
            <w:vAlign w:val="center"/>
          </w:tcPr>
          <w:p w14:paraId="08EF32B9">
            <w:pPr>
              <w:widowControl/>
              <w:jc w:val="center"/>
              <w:rPr>
                <w:rFonts w:ascii="宋体" w:hAnsi="宋体" w:cs="宋体"/>
                <w:color w:val="000000"/>
                <w:kern w:val="0"/>
                <w:sz w:val="24"/>
              </w:rPr>
            </w:pPr>
            <w:r>
              <w:rPr>
                <w:rFonts w:hint="eastAsia" w:ascii="宋体" w:hAnsi="宋体" w:cs="宋体"/>
                <w:color w:val="000000"/>
                <w:kern w:val="0"/>
                <w:sz w:val="24"/>
              </w:rPr>
              <w:t>4.0~</w:t>
            </w:r>
            <w:r>
              <w:rPr>
                <w:rFonts w:hint="eastAsia" w:ascii="宋体" w:hAnsi="宋体" w:cs="宋体"/>
                <w:color w:val="000000"/>
                <w:kern w:val="0"/>
                <w:sz w:val="24"/>
                <w:lang w:val="en-US" w:eastAsia="zh-CN"/>
              </w:rPr>
              <w:t>8</w:t>
            </w:r>
            <w:r>
              <w:rPr>
                <w:rFonts w:hint="eastAsia" w:ascii="宋体" w:hAnsi="宋体" w:cs="宋体"/>
                <w:color w:val="000000"/>
                <w:kern w:val="0"/>
                <w:sz w:val="24"/>
              </w:rPr>
              <w:t>.5</w:t>
            </w:r>
          </w:p>
        </w:tc>
      </w:tr>
      <w:tr w14:paraId="5816BD5B">
        <w:tblPrEx>
          <w:tblCellMar>
            <w:top w:w="0" w:type="dxa"/>
            <w:left w:w="108" w:type="dxa"/>
            <w:bottom w:w="0" w:type="dxa"/>
            <w:right w:w="108" w:type="dxa"/>
          </w:tblCellMar>
        </w:tblPrEx>
        <w:trPr>
          <w:trHeight w:val="447" w:hRule="atLeast"/>
          <w:jc w:val="center"/>
        </w:trPr>
        <w:tc>
          <w:tcPr>
            <w:tcW w:w="4247" w:type="dxa"/>
            <w:vMerge w:val="restart"/>
            <w:tcBorders>
              <w:top w:val="nil"/>
              <w:left w:val="single" w:color="auto" w:sz="4" w:space="0"/>
              <w:bottom w:val="single" w:color="auto" w:sz="4" w:space="0"/>
              <w:right w:val="single" w:color="auto" w:sz="4" w:space="0"/>
            </w:tcBorders>
            <w:noWrap w:val="0"/>
            <w:vAlign w:val="center"/>
          </w:tcPr>
          <w:p w14:paraId="44090A41">
            <w:pPr>
              <w:widowControl/>
              <w:jc w:val="both"/>
              <w:rPr>
                <w:rFonts w:ascii="宋体" w:hAnsi="宋体" w:cs="宋体"/>
                <w:color w:val="000000"/>
                <w:kern w:val="0"/>
                <w:sz w:val="24"/>
              </w:rPr>
            </w:pPr>
            <w:r>
              <w:rPr>
                <w:rFonts w:hint="eastAsia" w:ascii="宋体" w:hAnsi="宋体" w:cs="宋体"/>
                <w:color w:val="000000"/>
                <w:kern w:val="0"/>
                <w:sz w:val="24"/>
              </w:rPr>
              <w:t>色牢度/ 级 ≥</w:t>
            </w:r>
          </w:p>
        </w:tc>
        <w:tc>
          <w:tcPr>
            <w:tcW w:w="3435" w:type="dxa"/>
            <w:tcBorders>
              <w:top w:val="nil"/>
              <w:left w:val="nil"/>
              <w:bottom w:val="single" w:color="auto" w:sz="4" w:space="0"/>
              <w:right w:val="single" w:color="auto" w:sz="4" w:space="0"/>
            </w:tcBorders>
            <w:noWrap w:val="0"/>
            <w:vAlign w:val="center"/>
          </w:tcPr>
          <w:p w14:paraId="367A9BC6">
            <w:pPr>
              <w:widowControl/>
              <w:jc w:val="center"/>
              <w:rPr>
                <w:rFonts w:ascii="宋体" w:hAnsi="宋体" w:cs="宋体"/>
                <w:color w:val="000000"/>
                <w:kern w:val="0"/>
                <w:sz w:val="24"/>
              </w:rPr>
            </w:pPr>
            <w:r>
              <w:rPr>
                <w:rFonts w:hint="eastAsia" w:ascii="宋体" w:hAnsi="宋体" w:cs="宋体"/>
                <w:color w:val="000000"/>
                <w:kern w:val="0"/>
                <w:sz w:val="24"/>
              </w:rPr>
              <w:t>耐水（变色、沾色）</w:t>
            </w:r>
          </w:p>
        </w:tc>
        <w:tc>
          <w:tcPr>
            <w:tcW w:w="1617" w:type="dxa"/>
            <w:tcBorders>
              <w:top w:val="nil"/>
              <w:left w:val="nil"/>
              <w:bottom w:val="single" w:color="auto" w:sz="4" w:space="0"/>
              <w:right w:val="single" w:color="auto" w:sz="4" w:space="0"/>
            </w:tcBorders>
            <w:noWrap w:val="0"/>
            <w:vAlign w:val="center"/>
          </w:tcPr>
          <w:p w14:paraId="7F2E2866">
            <w:pPr>
              <w:widowControl/>
              <w:jc w:val="center"/>
              <w:rPr>
                <w:rFonts w:ascii="宋体" w:hAnsi="宋体" w:cs="宋体"/>
                <w:color w:val="000000"/>
                <w:kern w:val="0"/>
                <w:sz w:val="24"/>
              </w:rPr>
            </w:pPr>
            <w:r>
              <w:rPr>
                <w:rFonts w:hint="eastAsia" w:ascii="宋体" w:hAnsi="宋体" w:cs="宋体"/>
                <w:color w:val="000000"/>
                <w:kern w:val="0"/>
                <w:sz w:val="24"/>
              </w:rPr>
              <w:t>3</w:t>
            </w:r>
          </w:p>
        </w:tc>
      </w:tr>
      <w:tr w14:paraId="01140839">
        <w:tblPrEx>
          <w:tblCellMar>
            <w:top w:w="0" w:type="dxa"/>
            <w:left w:w="108" w:type="dxa"/>
            <w:bottom w:w="0" w:type="dxa"/>
            <w:right w:w="108" w:type="dxa"/>
          </w:tblCellMar>
        </w:tblPrEx>
        <w:trPr>
          <w:trHeight w:val="551" w:hRule="atLeast"/>
          <w:jc w:val="center"/>
        </w:trPr>
        <w:tc>
          <w:tcPr>
            <w:tcW w:w="4247" w:type="dxa"/>
            <w:vMerge w:val="continue"/>
            <w:tcBorders>
              <w:top w:val="nil"/>
              <w:left w:val="single" w:color="auto" w:sz="4" w:space="0"/>
              <w:bottom w:val="single" w:color="auto" w:sz="4" w:space="0"/>
              <w:right w:val="single" w:color="auto" w:sz="4" w:space="0"/>
            </w:tcBorders>
            <w:noWrap w:val="0"/>
            <w:vAlign w:val="center"/>
          </w:tcPr>
          <w:p w14:paraId="3BDE961A">
            <w:pPr>
              <w:widowControl/>
              <w:jc w:val="left"/>
              <w:rPr>
                <w:rFonts w:ascii="宋体" w:hAnsi="宋体" w:cs="宋体"/>
                <w:color w:val="000000"/>
                <w:kern w:val="0"/>
                <w:sz w:val="24"/>
              </w:rPr>
            </w:pPr>
          </w:p>
        </w:tc>
        <w:tc>
          <w:tcPr>
            <w:tcW w:w="3435" w:type="dxa"/>
            <w:tcBorders>
              <w:top w:val="nil"/>
              <w:left w:val="nil"/>
              <w:bottom w:val="single" w:color="auto" w:sz="4" w:space="0"/>
              <w:right w:val="single" w:color="auto" w:sz="4" w:space="0"/>
            </w:tcBorders>
            <w:noWrap w:val="0"/>
            <w:vAlign w:val="center"/>
          </w:tcPr>
          <w:p w14:paraId="76AC5AAE">
            <w:pPr>
              <w:widowControl/>
              <w:jc w:val="center"/>
              <w:rPr>
                <w:rFonts w:ascii="宋体" w:hAnsi="宋体" w:cs="宋体"/>
                <w:color w:val="000000"/>
                <w:kern w:val="0"/>
                <w:sz w:val="24"/>
              </w:rPr>
            </w:pPr>
            <w:r>
              <w:rPr>
                <w:rFonts w:hint="eastAsia" w:ascii="宋体" w:hAnsi="宋体" w:cs="宋体"/>
                <w:color w:val="000000"/>
                <w:kern w:val="0"/>
                <w:sz w:val="24"/>
              </w:rPr>
              <w:t>耐酸汗渍（变色、沾色）</w:t>
            </w:r>
          </w:p>
        </w:tc>
        <w:tc>
          <w:tcPr>
            <w:tcW w:w="1617" w:type="dxa"/>
            <w:tcBorders>
              <w:top w:val="nil"/>
              <w:left w:val="nil"/>
              <w:bottom w:val="single" w:color="auto" w:sz="4" w:space="0"/>
              <w:right w:val="single" w:color="auto" w:sz="4" w:space="0"/>
            </w:tcBorders>
            <w:noWrap w:val="0"/>
            <w:vAlign w:val="center"/>
          </w:tcPr>
          <w:p w14:paraId="13C21483">
            <w:pPr>
              <w:widowControl/>
              <w:jc w:val="center"/>
              <w:rPr>
                <w:rFonts w:ascii="宋体" w:hAnsi="宋体" w:cs="宋体"/>
                <w:color w:val="000000"/>
                <w:kern w:val="0"/>
                <w:sz w:val="24"/>
              </w:rPr>
            </w:pPr>
            <w:r>
              <w:rPr>
                <w:rFonts w:hint="eastAsia" w:ascii="宋体" w:hAnsi="宋体" w:cs="宋体"/>
                <w:color w:val="000000"/>
                <w:kern w:val="0"/>
                <w:sz w:val="24"/>
              </w:rPr>
              <w:t>3</w:t>
            </w:r>
          </w:p>
        </w:tc>
      </w:tr>
      <w:tr w14:paraId="2F1480B1">
        <w:tblPrEx>
          <w:tblCellMar>
            <w:top w:w="0" w:type="dxa"/>
            <w:left w:w="108" w:type="dxa"/>
            <w:bottom w:w="0" w:type="dxa"/>
            <w:right w:w="108" w:type="dxa"/>
          </w:tblCellMar>
        </w:tblPrEx>
        <w:trPr>
          <w:trHeight w:val="594" w:hRule="atLeast"/>
          <w:jc w:val="center"/>
        </w:trPr>
        <w:tc>
          <w:tcPr>
            <w:tcW w:w="4247" w:type="dxa"/>
            <w:vMerge w:val="continue"/>
            <w:tcBorders>
              <w:top w:val="nil"/>
              <w:left w:val="single" w:color="auto" w:sz="4" w:space="0"/>
              <w:bottom w:val="single" w:color="auto" w:sz="4" w:space="0"/>
              <w:right w:val="single" w:color="auto" w:sz="4" w:space="0"/>
            </w:tcBorders>
            <w:noWrap w:val="0"/>
            <w:vAlign w:val="center"/>
          </w:tcPr>
          <w:p w14:paraId="07C328C6">
            <w:pPr>
              <w:widowControl/>
              <w:jc w:val="left"/>
              <w:rPr>
                <w:rFonts w:ascii="宋体" w:hAnsi="宋体" w:cs="宋体"/>
                <w:color w:val="000000"/>
                <w:kern w:val="0"/>
                <w:sz w:val="24"/>
              </w:rPr>
            </w:pPr>
          </w:p>
        </w:tc>
        <w:tc>
          <w:tcPr>
            <w:tcW w:w="3435" w:type="dxa"/>
            <w:tcBorders>
              <w:top w:val="nil"/>
              <w:left w:val="nil"/>
              <w:bottom w:val="single" w:color="auto" w:sz="4" w:space="0"/>
              <w:right w:val="single" w:color="auto" w:sz="4" w:space="0"/>
            </w:tcBorders>
            <w:noWrap w:val="0"/>
            <w:vAlign w:val="center"/>
          </w:tcPr>
          <w:p w14:paraId="479DC471">
            <w:pPr>
              <w:widowControl/>
              <w:jc w:val="center"/>
              <w:rPr>
                <w:rFonts w:ascii="宋体" w:hAnsi="宋体" w:cs="宋体"/>
                <w:color w:val="000000"/>
                <w:kern w:val="0"/>
                <w:sz w:val="24"/>
              </w:rPr>
            </w:pPr>
            <w:r>
              <w:rPr>
                <w:rFonts w:hint="eastAsia" w:ascii="宋体" w:hAnsi="宋体" w:cs="宋体"/>
                <w:color w:val="000000"/>
                <w:kern w:val="0"/>
                <w:sz w:val="24"/>
              </w:rPr>
              <w:t>耐碱汗渍（变色、沾色）</w:t>
            </w:r>
          </w:p>
        </w:tc>
        <w:tc>
          <w:tcPr>
            <w:tcW w:w="1617" w:type="dxa"/>
            <w:tcBorders>
              <w:top w:val="nil"/>
              <w:left w:val="nil"/>
              <w:bottom w:val="single" w:color="auto" w:sz="4" w:space="0"/>
              <w:right w:val="single" w:color="auto" w:sz="4" w:space="0"/>
            </w:tcBorders>
            <w:noWrap w:val="0"/>
            <w:vAlign w:val="center"/>
          </w:tcPr>
          <w:p w14:paraId="17FAC9EF">
            <w:pPr>
              <w:widowControl/>
              <w:jc w:val="center"/>
              <w:rPr>
                <w:rFonts w:ascii="宋体" w:hAnsi="宋体" w:cs="宋体"/>
                <w:color w:val="000000"/>
                <w:kern w:val="0"/>
                <w:sz w:val="24"/>
              </w:rPr>
            </w:pPr>
            <w:r>
              <w:rPr>
                <w:rFonts w:hint="eastAsia" w:ascii="宋体" w:hAnsi="宋体" w:cs="宋体"/>
                <w:color w:val="000000"/>
                <w:kern w:val="0"/>
                <w:sz w:val="24"/>
              </w:rPr>
              <w:t>3</w:t>
            </w:r>
          </w:p>
        </w:tc>
      </w:tr>
      <w:tr w14:paraId="73AF85D6">
        <w:tblPrEx>
          <w:tblCellMar>
            <w:top w:w="0" w:type="dxa"/>
            <w:left w:w="108" w:type="dxa"/>
            <w:bottom w:w="0" w:type="dxa"/>
            <w:right w:w="108" w:type="dxa"/>
          </w:tblCellMar>
        </w:tblPrEx>
        <w:trPr>
          <w:trHeight w:val="456" w:hRule="atLeast"/>
          <w:jc w:val="center"/>
        </w:trPr>
        <w:tc>
          <w:tcPr>
            <w:tcW w:w="4247" w:type="dxa"/>
            <w:vMerge w:val="continue"/>
            <w:tcBorders>
              <w:top w:val="nil"/>
              <w:left w:val="single" w:color="auto" w:sz="4" w:space="0"/>
              <w:bottom w:val="single" w:color="auto" w:sz="4" w:space="0"/>
              <w:right w:val="single" w:color="auto" w:sz="4" w:space="0"/>
            </w:tcBorders>
            <w:noWrap w:val="0"/>
            <w:vAlign w:val="center"/>
          </w:tcPr>
          <w:p w14:paraId="45DFE88B">
            <w:pPr>
              <w:widowControl/>
              <w:jc w:val="left"/>
              <w:rPr>
                <w:rFonts w:ascii="宋体" w:hAnsi="宋体" w:cs="宋体"/>
                <w:color w:val="000000"/>
                <w:kern w:val="0"/>
                <w:sz w:val="24"/>
              </w:rPr>
            </w:pPr>
          </w:p>
        </w:tc>
        <w:tc>
          <w:tcPr>
            <w:tcW w:w="3435" w:type="dxa"/>
            <w:tcBorders>
              <w:top w:val="nil"/>
              <w:left w:val="nil"/>
              <w:bottom w:val="single" w:color="auto" w:sz="4" w:space="0"/>
              <w:right w:val="single" w:color="auto" w:sz="4" w:space="0"/>
            </w:tcBorders>
            <w:noWrap w:val="0"/>
            <w:vAlign w:val="center"/>
          </w:tcPr>
          <w:p w14:paraId="407CF2ED">
            <w:pPr>
              <w:widowControl/>
              <w:jc w:val="center"/>
              <w:rPr>
                <w:rFonts w:ascii="宋体" w:hAnsi="宋体" w:cs="宋体"/>
                <w:color w:val="000000"/>
                <w:kern w:val="0"/>
                <w:sz w:val="24"/>
              </w:rPr>
            </w:pPr>
            <w:r>
              <w:rPr>
                <w:rFonts w:hint="eastAsia" w:ascii="宋体" w:hAnsi="宋体" w:cs="宋体"/>
                <w:color w:val="000000"/>
                <w:kern w:val="0"/>
                <w:sz w:val="24"/>
              </w:rPr>
              <w:t>耐干摩擦</w:t>
            </w:r>
          </w:p>
        </w:tc>
        <w:tc>
          <w:tcPr>
            <w:tcW w:w="1617" w:type="dxa"/>
            <w:tcBorders>
              <w:top w:val="nil"/>
              <w:left w:val="nil"/>
              <w:bottom w:val="single" w:color="auto" w:sz="4" w:space="0"/>
              <w:right w:val="single" w:color="auto" w:sz="4" w:space="0"/>
            </w:tcBorders>
            <w:noWrap w:val="0"/>
            <w:vAlign w:val="center"/>
          </w:tcPr>
          <w:p w14:paraId="6E703B0B">
            <w:pPr>
              <w:widowControl/>
              <w:jc w:val="center"/>
              <w:rPr>
                <w:rFonts w:ascii="宋体" w:hAnsi="宋体" w:cs="宋体"/>
                <w:color w:val="000000"/>
                <w:kern w:val="0"/>
                <w:sz w:val="24"/>
              </w:rPr>
            </w:pPr>
            <w:r>
              <w:rPr>
                <w:rFonts w:hint="eastAsia" w:ascii="宋体" w:hAnsi="宋体" w:cs="宋体"/>
                <w:color w:val="000000"/>
                <w:kern w:val="0"/>
                <w:sz w:val="24"/>
              </w:rPr>
              <w:t>3</w:t>
            </w:r>
          </w:p>
        </w:tc>
      </w:tr>
      <w:tr w14:paraId="24C51F8C">
        <w:tblPrEx>
          <w:tblCellMar>
            <w:top w:w="0" w:type="dxa"/>
            <w:left w:w="108" w:type="dxa"/>
            <w:bottom w:w="0" w:type="dxa"/>
            <w:right w:w="108" w:type="dxa"/>
          </w:tblCellMar>
        </w:tblPrEx>
        <w:trPr>
          <w:trHeight w:val="447" w:hRule="atLeast"/>
          <w:jc w:val="center"/>
        </w:trPr>
        <w:tc>
          <w:tcPr>
            <w:tcW w:w="4247" w:type="dxa"/>
            <w:vMerge w:val="continue"/>
            <w:tcBorders>
              <w:top w:val="nil"/>
              <w:left w:val="single" w:color="auto" w:sz="4" w:space="0"/>
              <w:bottom w:val="single" w:color="auto" w:sz="4" w:space="0"/>
              <w:right w:val="single" w:color="auto" w:sz="4" w:space="0"/>
            </w:tcBorders>
            <w:noWrap w:val="0"/>
            <w:vAlign w:val="center"/>
          </w:tcPr>
          <w:p w14:paraId="3AB09F5F">
            <w:pPr>
              <w:widowControl/>
              <w:jc w:val="left"/>
              <w:rPr>
                <w:rFonts w:ascii="宋体" w:hAnsi="宋体" w:cs="宋体"/>
                <w:color w:val="000000"/>
                <w:kern w:val="0"/>
                <w:sz w:val="24"/>
              </w:rPr>
            </w:pPr>
          </w:p>
        </w:tc>
        <w:tc>
          <w:tcPr>
            <w:tcW w:w="3435" w:type="dxa"/>
            <w:tcBorders>
              <w:top w:val="nil"/>
              <w:left w:val="nil"/>
              <w:bottom w:val="single" w:color="auto" w:sz="4" w:space="0"/>
              <w:right w:val="single" w:color="auto" w:sz="4" w:space="0"/>
            </w:tcBorders>
            <w:noWrap w:val="0"/>
            <w:vAlign w:val="center"/>
          </w:tcPr>
          <w:p w14:paraId="4DD209FD">
            <w:pPr>
              <w:widowControl/>
              <w:jc w:val="center"/>
              <w:rPr>
                <w:rFonts w:ascii="宋体" w:hAnsi="宋体" w:cs="宋体"/>
                <w:color w:val="000000"/>
                <w:kern w:val="0"/>
                <w:sz w:val="24"/>
              </w:rPr>
            </w:pPr>
            <w:r>
              <w:rPr>
                <w:rFonts w:hint="eastAsia" w:ascii="宋体" w:hAnsi="宋体" w:cs="宋体"/>
                <w:color w:val="000000"/>
                <w:kern w:val="0"/>
                <w:sz w:val="24"/>
              </w:rPr>
              <w:t>耐唾液（变色、沾色）</w:t>
            </w:r>
          </w:p>
        </w:tc>
        <w:tc>
          <w:tcPr>
            <w:tcW w:w="1617" w:type="dxa"/>
            <w:tcBorders>
              <w:top w:val="nil"/>
              <w:left w:val="nil"/>
              <w:bottom w:val="single" w:color="auto" w:sz="4" w:space="0"/>
              <w:right w:val="single" w:color="auto" w:sz="4" w:space="0"/>
            </w:tcBorders>
            <w:noWrap w:val="0"/>
            <w:vAlign w:val="center"/>
          </w:tcPr>
          <w:p w14:paraId="3D093BD2">
            <w:pPr>
              <w:widowControl/>
              <w:jc w:val="center"/>
              <w:rPr>
                <w:rFonts w:ascii="宋体" w:hAnsi="宋体" w:cs="宋体"/>
                <w:color w:val="000000"/>
                <w:kern w:val="0"/>
                <w:sz w:val="24"/>
              </w:rPr>
            </w:pPr>
            <w:r>
              <w:rPr>
                <w:rFonts w:hint="eastAsia" w:ascii="宋体" w:hAnsi="宋体" w:cs="宋体"/>
                <w:color w:val="000000"/>
                <w:kern w:val="0"/>
                <w:sz w:val="24"/>
              </w:rPr>
              <w:t>－</w:t>
            </w:r>
          </w:p>
        </w:tc>
      </w:tr>
      <w:tr w14:paraId="3407027E">
        <w:tblPrEx>
          <w:tblCellMar>
            <w:top w:w="0" w:type="dxa"/>
            <w:left w:w="108" w:type="dxa"/>
            <w:bottom w:w="0" w:type="dxa"/>
            <w:right w:w="108" w:type="dxa"/>
          </w:tblCellMar>
        </w:tblPrEx>
        <w:trPr>
          <w:trHeight w:val="530" w:hRule="atLeast"/>
          <w:jc w:val="center"/>
        </w:trPr>
        <w:tc>
          <w:tcPr>
            <w:tcW w:w="7682" w:type="dxa"/>
            <w:gridSpan w:val="2"/>
            <w:tcBorders>
              <w:top w:val="single" w:color="auto" w:sz="4" w:space="0"/>
              <w:left w:val="single" w:color="auto" w:sz="4" w:space="0"/>
              <w:bottom w:val="single" w:color="auto" w:sz="4" w:space="0"/>
              <w:right w:val="single" w:color="auto" w:sz="4" w:space="0"/>
            </w:tcBorders>
            <w:noWrap w:val="0"/>
            <w:vAlign w:val="center"/>
          </w:tcPr>
          <w:p w14:paraId="2F89B82F">
            <w:pPr>
              <w:widowControl/>
              <w:jc w:val="center"/>
              <w:rPr>
                <w:rFonts w:ascii="宋体" w:hAnsi="宋体" w:cs="宋体"/>
                <w:color w:val="000000"/>
                <w:kern w:val="0"/>
                <w:sz w:val="24"/>
              </w:rPr>
            </w:pPr>
            <w:r>
              <w:rPr>
                <w:rFonts w:hint="eastAsia" w:ascii="宋体" w:hAnsi="宋体" w:cs="宋体"/>
                <w:color w:val="000000"/>
                <w:kern w:val="0"/>
                <w:sz w:val="24"/>
              </w:rPr>
              <w:t>异味</w:t>
            </w:r>
          </w:p>
        </w:tc>
        <w:tc>
          <w:tcPr>
            <w:tcW w:w="1617" w:type="dxa"/>
            <w:tcBorders>
              <w:top w:val="nil"/>
              <w:left w:val="nil"/>
              <w:bottom w:val="single" w:color="auto" w:sz="4" w:space="0"/>
              <w:right w:val="single" w:color="auto" w:sz="4" w:space="0"/>
            </w:tcBorders>
            <w:noWrap w:val="0"/>
            <w:vAlign w:val="center"/>
          </w:tcPr>
          <w:p w14:paraId="4ECB6257">
            <w:pPr>
              <w:widowControl/>
              <w:jc w:val="center"/>
              <w:rPr>
                <w:rFonts w:ascii="宋体" w:hAnsi="宋体" w:cs="宋体"/>
                <w:color w:val="000000"/>
                <w:kern w:val="0"/>
                <w:sz w:val="24"/>
              </w:rPr>
            </w:pPr>
            <w:r>
              <w:rPr>
                <w:rFonts w:hint="eastAsia" w:ascii="宋体" w:hAnsi="宋体" w:cs="宋体"/>
                <w:color w:val="000000"/>
                <w:kern w:val="0"/>
                <w:sz w:val="24"/>
              </w:rPr>
              <w:t>无</w:t>
            </w:r>
          </w:p>
        </w:tc>
      </w:tr>
      <w:tr w14:paraId="48D55AF9">
        <w:tblPrEx>
          <w:tblCellMar>
            <w:top w:w="0" w:type="dxa"/>
            <w:left w:w="108" w:type="dxa"/>
            <w:bottom w:w="0" w:type="dxa"/>
            <w:right w:w="108" w:type="dxa"/>
          </w:tblCellMar>
        </w:tblPrEx>
        <w:trPr>
          <w:trHeight w:val="519" w:hRule="atLeast"/>
          <w:jc w:val="center"/>
        </w:trPr>
        <w:tc>
          <w:tcPr>
            <w:tcW w:w="7682" w:type="dxa"/>
            <w:gridSpan w:val="2"/>
            <w:tcBorders>
              <w:top w:val="single" w:color="auto" w:sz="4" w:space="0"/>
              <w:left w:val="single" w:color="auto" w:sz="4" w:space="0"/>
              <w:bottom w:val="single" w:color="auto" w:sz="4" w:space="0"/>
              <w:right w:val="single" w:color="auto" w:sz="4" w:space="0"/>
            </w:tcBorders>
            <w:noWrap w:val="0"/>
            <w:vAlign w:val="center"/>
          </w:tcPr>
          <w:p w14:paraId="7C159EBD">
            <w:pPr>
              <w:widowControl/>
              <w:jc w:val="center"/>
              <w:rPr>
                <w:rFonts w:ascii="宋体" w:hAnsi="宋体" w:cs="宋体"/>
                <w:color w:val="000000"/>
                <w:kern w:val="0"/>
                <w:sz w:val="24"/>
              </w:rPr>
            </w:pPr>
            <w:r>
              <w:rPr>
                <w:rFonts w:hint="eastAsia" w:ascii="宋体" w:hAnsi="宋体" w:cs="宋体"/>
                <w:color w:val="000000"/>
                <w:kern w:val="0"/>
                <w:sz w:val="24"/>
              </w:rPr>
              <w:t>可分解芳香胺染料</w:t>
            </w:r>
          </w:p>
        </w:tc>
        <w:tc>
          <w:tcPr>
            <w:tcW w:w="1617" w:type="dxa"/>
            <w:tcBorders>
              <w:top w:val="nil"/>
              <w:left w:val="nil"/>
              <w:bottom w:val="single" w:color="auto" w:sz="4" w:space="0"/>
              <w:right w:val="single" w:color="auto" w:sz="4" w:space="0"/>
            </w:tcBorders>
            <w:noWrap w:val="0"/>
            <w:vAlign w:val="center"/>
          </w:tcPr>
          <w:p w14:paraId="77AD1E30">
            <w:pPr>
              <w:widowControl/>
              <w:jc w:val="center"/>
              <w:rPr>
                <w:rFonts w:ascii="宋体" w:hAnsi="宋体" w:cs="宋体"/>
                <w:color w:val="000000"/>
                <w:kern w:val="0"/>
                <w:sz w:val="24"/>
              </w:rPr>
            </w:pPr>
            <w:r>
              <w:rPr>
                <w:rFonts w:hint="eastAsia" w:ascii="宋体" w:hAnsi="宋体" w:cs="宋体"/>
                <w:color w:val="000000"/>
                <w:kern w:val="0"/>
                <w:sz w:val="24"/>
              </w:rPr>
              <w:t>禁用</w:t>
            </w:r>
          </w:p>
        </w:tc>
      </w:tr>
    </w:tbl>
    <w:p w14:paraId="04E3EA1A">
      <w:pPr>
        <w:adjustRightInd/>
        <w:spacing w:line="360" w:lineRule="auto"/>
        <w:ind w:firstLine="480" w:firstLineChars="200"/>
        <w:rPr>
          <w:rFonts w:hint="eastAsia" w:ascii="宋体" w:hAnsi="宋体" w:eastAsia="宋体" w:cs="宋体"/>
          <w:kern w:val="2"/>
          <w:sz w:val="24"/>
          <w:szCs w:val="24"/>
          <w:lang w:val="en-US" w:eastAsia="zh-CN"/>
        </w:rPr>
      </w:pPr>
    </w:p>
    <w:p w14:paraId="0D45C0B7">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2、每套军训服装标准为2件短袖T恤、1件长袖上衣、2条长裤、1顶军训帽、1双军训鞋、1条内腰带、1条外腰带。具体材质要求如下：</w:t>
      </w:r>
    </w:p>
    <w:tbl>
      <w:tblPr>
        <w:tblStyle w:val="41"/>
        <w:tblpPr w:leftFromText="180" w:rightFromText="180" w:vertAnchor="text" w:horzAnchor="page" w:tblpXSpec="center" w:tblpY="559"/>
        <w:tblOverlap w:val="never"/>
        <w:tblW w:w="1107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9"/>
        <w:gridCol w:w="1124"/>
        <w:gridCol w:w="4623"/>
        <w:gridCol w:w="1005"/>
        <w:gridCol w:w="675"/>
        <w:gridCol w:w="735"/>
        <w:gridCol w:w="765"/>
        <w:gridCol w:w="1509"/>
      </w:tblGrid>
      <w:tr w14:paraId="4ABA1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jc w:val="center"/>
        </w:trPr>
        <w:tc>
          <w:tcPr>
            <w:tcW w:w="639" w:type="dxa"/>
            <w:noWrap w:val="0"/>
            <w:vAlign w:val="center"/>
          </w:tcPr>
          <w:p w14:paraId="0418D4DF">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b/>
                <w:bCs/>
                <w:spacing w:val="1"/>
                <w:sz w:val="21"/>
                <w:szCs w:val="21"/>
              </w:rPr>
              <w:t>序号</w:t>
            </w:r>
          </w:p>
        </w:tc>
        <w:tc>
          <w:tcPr>
            <w:tcW w:w="1124" w:type="dxa"/>
            <w:noWrap w:val="0"/>
            <w:vAlign w:val="center"/>
          </w:tcPr>
          <w:p w14:paraId="0B778005">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b/>
                <w:bCs/>
                <w:spacing w:val="4"/>
                <w:sz w:val="21"/>
                <w:szCs w:val="21"/>
              </w:rPr>
              <w:t>名称</w:t>
            </w:r>
          </w:p>
        </w:tc>
        <w:tc>
          <w:tcPr>
            <w:tcW w:w="4623" w:type="dxa"/>
            <w:noWrap w:val="0"/>
            <w:vAlign w:val="center"/>
          </w:tcPr>
          <w:p w14:paraId="4C225A24">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1"/>
                <w:szCs w:val="21"/>
              </w:rPr>
            </w:pPr>
            <w:r>
              <w:rPr>
                <w:rFonts w:hint="eastAsia" w:cs="宋体"/>
                <w:b/>
                <w:bCs/>
                <w:spacing w:val="6"/>
                <w:sz w:val="21"/>
                <w:szCs w:val="21"/>
                <w:lang w:val="en-US" w:eastAsia="zh-CN"/>
              </w:rPr>
              <w:t>材质要求及</w:t>
            </w:r>
            <w:r>
              <w:rPr>
                <w:rFonts w:hint="eastAsia" w:ascii="宋体" w:hAnsi="宋体" w:eastAsia="宋体" w:cs="宋体"/>
                <w:b/>
                <w:bCs/>
                <w:spacing w:val="6"/>
                <w:sz w:val="21"/>
                <w:szCs w:val="21"/>
              </w:rPr>
              <w:t>规格</w:t>
            </w:r>
          </w:p>
        </w:tc>
        <w:tc>
          <w:tcPr>
            <w:tcW w:w="1005" w:type="dxa"/>
            <w:noWrap w:val="0"/>
            <w:vAlign w:val="center"/>
          </w:tcPr>
          <w:p w14:paraId="71B6929F">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1"/>
                <w:szCs w:val="21"/>
                <w:lang w:eastAsia="zh-CN"/>
              </w:rPr>
            </w:pPr>
            <w:r>
              <w:rPr>
                <w:rFonts w:hint="eastAsia" w:cs="宋体"/>
                <w:b/>
                <w:bCs/>
                <w:spacing w:val="2"/>
                <w:sz w:val="21"/>
                <w:szCs w:val="21"/>
                <w:lang w:val="en-US" w:eastAsia="zh-CN"/>
              </w:rPr>
              <w:t>数量</w:t>
            </w:r>
          </w:p>
        </w:tc>
        <w:tc>
          <w:tcPr>
            <w:tcW w:w="675" w:type="dxa"/>
            <w:noWrap w:val="0"/>
            <w:vAlign w:val="center"/>
          </w:tcPr>
          <w:p w14:paraId="20331668">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s="宋体"/>
                <w:b/>
                <w:bCs/>
                <w:spacing w:val="2"/>
                <w:sz w:val="21"/>
                <w:szCs w:val="21"/>
                <w:lang w:val="en-US" w:eastAsia="zh-CN"/>
              </w:rPr>
            </w:pPr>
            <w:r>
              <w:rPr>
                <w:rFonts w:hint="eastAsia" w:cs="宋体"/>
                <w:b/>
                <w:bCs/>
                <w:spacing w:val="2"/>
                <w:sz w:val="21"/>
                <w:szCs w:val="21"/>
                <w:lang w:val="en-US" w:eastAsia="zh-CN"/>
              </w:rPr>
              <w:t>单位</w:t>
            </w:r>
          </w:p>
        </w:tc>
        <w:tc>
          <w:tcPr>
            <w:tcW w:w="735" w:type="dxa"/>
            <w:noWrap w:val="0"/>
            <w:vAlign w:val="center"/>
          </w:tcPr>
          <w:p w14:paraId="601D5528">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s="宋体"/>
                <w:b/>
                <w:bCs/>
                <w:spacing w:val="2"/>
                <w:sz w:val="21"/>
                <w:szCs w:val="21"/>
                <w:lang w:val="en-US" w:eastAsia="zh-CN"/>
              </w:rPr>
            </w:pPr>
            <w:r>
              <w:rPr>
                <w:rFonts w:hint="eastAsia" w:cs="宋体"/>
                <w:b/>
                <w:bCs/>
                <w:spacing w:val="2"/>
                <w:sz w:val="21"/>
                <w:szCs w:val="21"/>
                <w:lang w:val="en-US" w:eastAsia="zh-CN"/>
              </w:rPr>
              <w:t>单价</w:t>
            </w:r>
          </w:p>
        </w:tc>
        <w:tc>
          <w:tcPr>
            <w:tcW w:w="765" w:type="dxa"/>
            <w:noWrap w:val="0"/>
            <w:vAlign w:val="center"/>
          </w:tcPr>
          <w:p w14:paraId="366254AD">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cs="宋体"/>
                <w:b/>
                <w:bCs/>
                <w:spacing w:val="2"/>
                <w:sz w:val="21"/>
                <w:szCs w:val="21"/>
                <w:lang w:val="en-US" w:eastAsia="zh-CN"/>
              </w:rPr>
            </w:pPr>
            <w:r>
              <w:rPr>
                <w:rFonts w:hint="eastAsia" w:cs="宋体"/>
                <w:b/>
                <w:bCs/>
                <w:spacing w:val="2"/>
                <w:sz w:val="21"/>
                <w:szCs w:val="21"/>
                <w:lang w:val="en-US" w:eastAsia="zh-CN"/>
              </w:rPr>
              <w:t>总价</w:t>
            </w:r>
          </w:p>
        </w:tc>
        <w:tc>
          <w:tcPr>
            <w:tcW w:w="1509" w:type="dxa"/>
            <w:noWrap w:val="0"/>
            <w:vAlign w:val="center"/>
          </w:tcPr>
          <w:p w14:paraId="1B6651A7">
            <w:pPr>
              <w:pStyle w:val="15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宋体" w:hAnsi="宋体" w:eastAsia="宋体" w:cs="宋体"/>
                <w:sz w:val="21"/>
                <w:szCs w:val="21"/>
                <w:lang w:val="en-US" w:eastAsia="zh-CN"/>
              </w:rPr>
            </w:pPr>
            <w:r>
              <w:rPr>
                <w:rFonts w:hint="eastAsia" w:cs="宋体"/>
                <w:b/>
                <w:bCs/>
                <w:sz w:val="21"/>
                <w:szCs w:val="21"/>
                <w:lang w:val="en-US" w:eastAsia="zh-CN"/>
              </w:rPr>
              <w:t>参考图片</w:t>
            </w:r>
          </w:p>
        </w:tc>
      </w:tr>
      <w:tr w14:paraId="18193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4" w:hRule="atLeast"/>
          <w:jc w:val="center"/>
        </w:trPr>
        <w:tc>
          <w:tcPr>
            <w:tcW w:w="639" w:type="dxa"/>
            <w:noWrap w:val="0"/>
            <w:vAlign w:val="center"/>
          </w:tcPr>
          <w:p w14:paraId="599F58AB">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1</w:t>
            </w:r>
          </w:p>
        </w:tc>
        <w:tc>
          <w:tcPr>
            <w:tcW w:w="1124" w:type="dxa"/>
            <w:noWrap w:val="0"/>
            <w:vAlign w:val="center"/>
          </w:tcPr>
          <w:p w14:paraId="2EA386EB">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rPr>
              <w:t>帽子</w:t>
            </w:r>
          </w:p>
        </w:tc>
        <w:tc>
          <w:tcPr>
            <w:tcW w:w="4623" w:type="dxa"/>
            <w:noWrap w:val="0"/>
            <w:vAlign w:val="top"/>
          </w:tcPr>
          <w:p w14:paraId="1D1BA133">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1、</w:t>
            </w:r>
            <w:r>
              <w:rPr>
                <w:rFonts w:hint="eastAsia" w:cs="宋体"/>
                <w:spacing w:val="6"/>
                <w:sz w:val="21"/>
                <w:szCs w:val="21"/>
                <w:lang w:val="en-US" w:eastAsia="zh-CN"/>
              </w:rPr>
              <w:t>海洋迷彩、</w:t>
            </w:r>
            <w:r>
              <w:rPr>
                <w:rFonts w:hint="eastAsia" w:ascii="宋体" w:hAnsi="宋体" w:eastAsia="宋体" w:cs="宋体"/>
                <w:spacing w:val="6"/>
                <w:sz w:val="21"/>
                <w:szCs w:val="21"/>
                <w:lang w:eastAsia="zh-CN"/>
              </w:rPr>
              <w:t>斜纹面料</w:t>
            </w:r>
            <w:r>
              <w:rPr>
                <w:rFonts w:hint="eastAsia" w:cs="宋体"/>
                <w:spacing w:val="6"/>
                <w:sz w:val="21"/>
                <w:szCs w:val="21"/>
                <w:lang w:eastAsia="zh-CN"/>
              </w:rPr>
              <w:t>，</w:t>
            </w:r>
            <w:r>
              <w:rPr>
                <w:rFonts w:hint="eastAsia" w:ascii="宋体" w:hAnsi="宋体" w:eastAsia="宋体" w:cs="宋体"/>
                <w:spacing w:val="6"/>
                <w:sz w:val="21"/>
                <w:szCs w:val="21"/>
                <w:lang w:eastAsia="zh-CN"/>
              </w:rPr>
              <w:t>面料花型需</w:t>
            </w:r>
            <w:r>
              <w:rPr>
                <w:rFonts w:hint="eastAsia" w:cs="宋体"/>
                <w:spacing w:val="6"/>
                <w:sz w:val="21"/>
                <w:szCs w:val="21"/>
                <w:lang w:val="en-US" w:eastAsia="zh-CN"/>
              </w:rPr>
              <w:t>与衣服</w:t>
            </w:r>
            <w:r>
              <w:rPr>
                <w:rFonts w:hint="eastAsia" w:ascii="宋体" w:hAnsi="宋体" w:eastAsia="宋体" w:cs="宋体"/>
                <w:spacing w:val="6"/>
                <w:sz w:val="21"/>
                <w:szCs w:val="21"/>
                <w:lang w:eastAsia="zh-CN"/>
              </w:rPr>
              <w:t>配套</w:t>
            </w:r>
          </w:p>
          <w:p w14:paraId="7C69347C">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2</w:t>
            </w:r>
            <w:r>
              <w:rPr>
                <w:rFonts w:hint="eastAsia" w:ascii="宋体" w:hAnsi="宋体" w:eastAsia="宋体" w:cs="宋体"/>
                <w:spacing w:val="6"/>
                <w:sz w:val="21"/>
                <w:szCs w:val="21"/>
                <w:lang w:eastAsia="zh-CN"/>
              </w:rPr>
              <w:t>、棉含量:≥35%、聚酯纤维≤65%</w:t>
            </w:r>
          </w:p>
          <w:p w14:paraId="34857F2B">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3、</w:t>
            </w:r>
            <w:r>
              <w:rPr>
                <w:rFonts w:hint="eastAsia" w:ascii="宋体" w:hAnsi="宋体" w:eastAsia="宋体" w:cs="宋体"/>
                <w:spacing w:val="6"/>
                <w:sz w:val="21"/>
                <w:szCs w:val="21"/>
                <w:lang w:eastAsia="zh-CN"/>
              </w:rPr>
              <w:t>帽子带刺绣帽徽，帽子后端采用魔术贴搭扣缝制</w:t>
            </w:r>
            <w:r>
              <w:rPr>
                <w:rFonts w:hint="eastAsia" w:cs="宋体"/>
                <w:spacing w:val="6"/>
                <w:sz w:val="21"/>
                <w:szCs w:val="21"/>
                <w:lang w:eastAsia="zh-CN"/>
              </w:rPr>
              <w:t>，</w:t>
            </w:r>
            <w:r>
              <w:rPr>
                <w:rFonts w:hint="eastAsia" w:ascii="宋体" w:hAnsi="宋体" w:eastAsia="宋体" w:cs="宋体"/>
                <w:spacing w:val="6"/>
                <w:sz w:val="21"/>
                <w:szCs w:val="21"/>
              </w:rPr>
              <w:t>大小可调节</w:t>
            </w:r>
          </w:p>
        </w:tc>
        <w:tc>
          <w:tcPr>
            <w:tcW w:w="1005" w:type="dxa"/>
            <w:noWrap w:val="0"/>
            <w:vAlign w:val="center"/>
          </w:tcPr>
          <w:p w14:paraId="5E11DB5D">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default" w:ascii="宋体" w:hAnsi="宋体" w:eastAsia="宋体" w:cs="宋体"/>
                <w:spacing w:val="6"/>
                <w:sz w:val="21"/>
                <w:szCs w:val="21"/>
                <w:lang w:val="en-US" w:eastAsia="zh-CN"/>
              </w:rPr>
            </w:pPr>
            <w:r>
              <w:rPr>
                <w:rFonts w:hint="eastAsia" w:cs="宋体"/>
                <w:spacing w:val="6"/>
                <w:sz w:val="21"/>
                <w:szCs w:val="21"/>
                <w:lang w:val="en-US" w:eastAsia="zh-CN"/>
              </w:rPr>
              <w:t>1</w:t>
            </w:r>
          </w:p>
        </w:tc>
        <w:tc>
          <w:tcPr>
            <w:tcW w:w="675" w:type="dxa"/>
            <w:noWrap w:val="0"/>
            <w:vAlign w:val="center"/>
          </w:tcPr>
          <w:p w14:paraId="24440DE0">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r>
              <w:rPr>
                <w:rFonts w:hint="eastAsia" w:cs="宋体"/>
                <w:spacing w:val="6"/>
                <w:sz w:val="21"/>
                <w:szCs w:val="21"/>
                <w:lang w:val="en-US" w:eastAsia="zh-CN"/>
              </w:rPr>
              <w:t>顶</w:t>
            </w:r>
          </w:p>
        </w:tc>
        <w:tc>
          <w:tcPr>
            <w:tcW w:w="735" w:type="dxa"/>
            <w:noWrap w:val="0"/>
            <w:vAlign w:val="center"/>
          </w:tcPr>
          <w:p w14:paraId="6679930B">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765" w:type="dxa"/>
            <w:noWrap w:val="0"/>
            <w:vAlign w:val="center"/>
          </w:tcPr>
          <w:p w14:paraId="55C626AA">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1509" w:type="dxa"/>
            <w:noWrap w:val="0"/>
            <w:vAlign w:val="center"/>
          </w:tcPr>
          <w:p w14:paraId="59FB4A27">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position w:val="-27"/>
                <w:sz w:val="21"/>
                <w:szCs w:val="21"/>
              </w:rPr>
              <w:drawing>
                <wp:inline distT="0" distB="0" distL="114300" distR="114300">
                  <wp:extent cx="686435" cy="744220"/>
                  <wp:effectExtent l="0" t="0" r="18415" b="17780"/>
                  <wp:docPr id="12" name="图片 1"/>
                  <wp:cNvGraphicFramePr/>
                  <a:graphic xmlns:a="http://schemas.openxmlformats.org/drawingml/2006/main">
                    <a:graphicData uri="http://schemas.openxmlformats.org/drawingml/2006/picture">
                      <pic:pic xmlns:pic="http://schemas.openxmlformats.org/drawingml/2006/picture">
                        <pic:nvPicPr>
                          <pic:cNvPr id="12" name="图片 1"/>
                          <pic:cNvPicPr/>
                        </pic:nvPicPr>
                        <pic:blipFill>
                          <a:blip r:embed="rId15"/>
                          <a:stretch>
                            <a:fillRect/>
                          </a:stretch>
                        </pic:blipFill>
                        <pic:spPr>
                          <a:xfrm>
                            <a:off x="0" y="0"/>
                            <a:ext cx="686435" cy="744220"/>
                          </a:xfrm>
                          <a:prstGeom prst="rect">
                            <a:avLst/>
                          </a:prstGeom>
                          <a:noFill/>
                          <a:ln>
                            <a:noFill/>
                          </a:ln>
                        </pic:spPr>
                      </pic:pic>
                    </a:graphicData>
                  </a:graphic>
                </wp:inline>
              </w:drawing>
            </w:r>
          </w:p>
        </w:tc>
      </w:tr>
      <w:tr w14:paraId="1DA2D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4" w:hRule="atLeast"/>
          <w:jc w:val="center"/>
        </w:trPr>
        <w:tc>
          <w:tcPr>
            <w:tcW w:w="639" w:type="dxa"/>
            <w:noWrap w:val="0"/>
            <w:vAlign w:val="center"/>
          </w:tcPr>
          <w:p w14:paraId="6BA7798D">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2</w:t>
            </w:r>
          </w:p>
        </w:tc>
        <w:tc>
          <w:tcPr>
            <w:tcW w:w="1124" w:type="dxa"/>
            <w:noWrap w:val="0"/>
            <w:vAlign w:val="center"/>
          </w:tcPr>
          <w:p w14:paraId="3681F2C2">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短袖T恤</w:t>
            </w:r>
          </w:p>
        </w:tc>
        <w:tc>
          <w:tcPr>
            <w:tcW w:w="4623" w:type="dxa"/>
            <w:noWrap w:val="0"/>
            <w:vAlign w:val="top"/>
          </w:tcPr>
          <w:p w14:paraId="67768EC4">
            <w:pPr>
              <w:pStyle w:val="1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spacing w:val="6"/>
                <w:sz w:val="21"/>
                <w:szCs w:val="21"/>
                <w:lang w:eastAsia="zh-CN"/>
              </w:rPr>
            </w:pPr>
            <w:r>
              <w:rPr>
                <w:rFonts w:hint="eastAsia" w:ascii="宋体" w:hAnsi="宋体" w:eastAsia="宋体" w:cs="宋体"/>
                <w:spacing w:val="6"/>
                <w:kern w:val="2"/>
                <w:sz w:val="21"/>
                <w:szCs w:val="21"/>
                <w:lang w:val="en-US" w:eastAsia="zh-CN" w:bidi="ar-SA"/>
              </w:rPr>
              <w:t>1、</w:t>
            </w:r>
            <w:r>
              <w:rPr>
                <w:rFonts w:hint="eastAsia" w:ascii="宋体" w:hAnsi="宋体" w:eastAsia="宋体" w:cs="宋体"/>
                <w:spacing w:val="6"/>
                <w:sz w:val="21"/>
                <w:szCs w:val="21"/>
                <w:lang w:val="en-US" w:eastAsia="zh-CN"/>
              </w:rPr>
              <w:t>海洋迷彩，</w:t>
            </w:r>
            <w:r>
              <w:rPr>
                <w:rFonts w:hint="eastAsia" w:ascii="宋体" w:hAnsi="宋体" w:eastAsia="宋体" w:cs="宋体"/>
                <w:spacing w:val="6"/>
                <w:sz w:val="21"/>
                <w:szCs w:val="21"/>
                <w:lang w:eastAsia="zh-CN"/>
              </w:rPr>
              <w:t xml:space="preserve">圆领，克重≥140g </w:t>
            </w:r>
          </w:p>
          <w:p w14:paraId="6E67E1BC">
            <w:pPr>
              <w:pStyle w:val="15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 xml:space="preserve">2、棉含量≥ </w:t>
            </w:r>
            <w:r>
              <w:rPr>
                <w:rFonts w:hint="eastAsia" w:ascii="宋体" w:hAnsi="宋体" w:eastAsia="宋体" w:cs="宋体"/>
                <w:spacing w:val="6"/>
                <w:sz w:val="21"/>
                <w:szCs w:val="21"/>
                <w:lang w:val="en-US" w:eastAsia="zh-CN"/>
              </w:rPr>
              <w:t>5</w:t>
            </w:r>
            <w:r>
              <w:rPr>
                <w:rFonts w:hint="eastAsia" w:ascii="宋体" w:hAnsi="宋体" w:eastAsia="宋体" w:cs="宋体"/>
                <w:spacing w:val="6"/>
                <w:sz w:val="21"/>
                <w:szCs w:val="21"/>
                <w:lang w:eastAsia="zh-CN"/>
              </w:rPr>
              <w:t>0%</w:t>
            </w:r>
          </w:p>
          <w:p w14:paraId="7BE939D5">
            <w:pPr>
              <w:pStyle w:val="1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3、产品符合GB18401-B类</w:t>
            </w:r>
          </w:p>
          <w:p w14:paraId="631C8ADE">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val="en-US" w:eastAsia="zh-CN"/>
              </w:rPr>
              <w:t>4</w:t>
            </w:r>
            <w:r>
              <w:rPr>
                <w:rFonts w:hint="eastAsia" w:ascii="宋体" w:hAnsi="宋体" w:eastAsia="宋体" w:cs="宋体"/>
                <w:spacing w:val="6"/>
                <w:sz w:val="21"/>
                <w:szCs w:val="21"/>
                <w:lang w:eastAsia="zh-CN"/>
              </w:rPr>
              <w:t>、缝制内里要求：锁边或双包缝。</w:t>
            </w:r>
          </w:p>
          <w:p w14:paraId="38F84DC9">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default"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5</w:t>
            </w:r>
            <w:r>
              <w:rPr>
                <w:rFonts w:hint="eastAsia" w:cs="宋体"/>
                <w:spacing w:val="6"/>
                <w:sz w:val="21"/>
                <w:szCs w:val="21"/>
                <w:lang w:val="en-US" w:eastAsia="zh-CN"/>
              </w:rPr>
              <w:t>、</w:t>
            </w:r>
            <w:r>
              <w:rPr>
                <w:rFonts w:hint="eastAsia" w:ascii="宋体" w:hAnsi="宋体" w:eastAsia="宋体" w:cs="宋体"/>
                <w:spacing w:val="6"/>
                <w:sz w:val="21"/>
                <w:szCs w:val="21"/>
                <w:lang w:eastAsia="zh-CN"/>
              </w:rPr>
              <w:t>规格：150-200及特</w:t>
            </w:r>
            <w:r>
              <w:rPr>
                <w:rFonts w:hint="eastAsia" w:cs="宋体"/>
                <w:spacing w:val="6"/>
                <w:sz w:val="21"/>
                <w:szCs w:val="21"/>
                <w:lang w:val="en-US" w:eastAsia="zh-CN"/>
              </w:rPr>
              <w:t>大</w:t>
            </w:r>
          </w:p>
        </w:tc>
        <w:tc>
          <w:tcPr>
            <w:tcW w:w="1005" w:type="dxa"/>
            <w:noWrap w:val="0"/>
            <w:vAlign w:val="center"/>
          </w:tcPr>
          <w:p w14:paraId="4C0DE801">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default" w:ascii="宋体" w:hAnsi="宋体" w:eastAsia="宋体" w:cs="宋体"/>
                <w:spacing w:val="6"/>
                <w:sz w:val="21"/>
                <w:szCs w:val="21"/>
                <w:lang w:val="en-US" w:eastAsia="zh-CN"/>
              </w:rPr>
            </w:pPr>
            <w:r>
              <w:rPr>
                <w:rFonts w:hint="eastAsia" w:cs="宋体"/>
                <w:spacing w:val="6"/>
                <w:sz w:val="21"/>
                <w:szCs w:val="21"/>
                <w:lang w:val="en-US" w:eastAsia="zh-CN"/>
              </w:rPr>
              <w:t>2</w:t>
            </w:r>
          </w:p>
        </w:tc>
        <w:tc>
          <w:tcPr>
            <w:tcW w:w="675" w:type="dxa"/>
            <w:noWrap w:val="0"/>
            <w:vAlign w:val="center"/>
          </w:tcPr>
          <w:p w14:paraId="1CBE7A02">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r>
              <w:rPr>
                <w:rFonts w:hint="eastAsia" w:cs="宋体"/>
                <w:spacing w:val="6"/>
                <w:sz w:val="21"/>
                <w:szCs w:val="21"/>
                <w:lang w:val="en-US" w:eastAsia="zh-CN"/>
              </w:rPr>
              <w:t>件</w:t>
            </w:r>
          </w:p>
        </w:tc>
        <w:tc>
          <w:tcPr>
            <w:tcW w:w="735" w:type="dxa"/>
            <w:noWrap w:val="0"/>
            <w:vAlign w:val="center"/>
          </w:tcPr>
          <w:p w14:paraId="575D6B68">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765" w:type="dxa"/>
            <w:noWrap w:val="0"/>
            <w:vAlign w:val="center"/>
          </w:tcPr>
          <w:p w14:paraId="1EE29B37">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1509" w:type="dxa"/>
            <w:noWrap w:val="0"/>
            <w:vAlign w:val="center"/>
          </w:tcPr>
          <w:p w14:paraId="6721DF72">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position w:val="-45"/>
                <w:sz w:val="21"/>
                <w:szCs w:val="21"/>
              </w:rPr>
              <w:drawing>
                <wp:inline distT="0" distB="0" distL="114300" distR="114300">
                  <wp:extent cx="532130" cy="707390"/>
                  <wp:effectExtent l="0" t="0" r="1270" b="16510"/>
                  <wp:docPr id="10" name="图片 2"/>
                  <wp:cNvGraphicFramePr/>
                  <a:graphic xmlns:a="http://schemas.openxmlformats.org/drawingml/2006/main">
                    <a:graphicData uri="http://schemas.openxmlformats.org/drawingml/2006/picture">
                      <pic:pic xmlns:pic="http://schemas.openxmlformats.org/drawingml/2006/picture">
                        <pic:nvPicPr>
                          <pic:cNvPr id="10" name="图片 2"/>
                          <pic:cNvPicPr/>
                        </pic:nvPicPr>
                        <pic:blipFill>
                          <a:blip r:embed="rId16"/>
                          <a:stretch>
                            <a:fillRect/>
                          </a:stretch>
                        </pic:blipFill>
                        <pic:spPr>
                          <a:xfrm>
                            <a:off x="0" y="0"/>
                            <a:ext cx="532130" cy="707390"/>
                          </a:xfrm>
                          <a:prstGeom prst="rect">
                            <a:avLst/>
                          </a:prstGeom>
                          <a:noFill/>
                          <a:ln>
                            <a:noFill/>
                          </a:ln>
                        </pic:spPr>
                      </pic:pic>
                    </a:graphicData>
                  </a:graphic>
                </wp:inline>
              </w:drawing>
            </w:r>
          </w:p>
        </w:tc>
      </w:tr>
      <w:tr w14:paraId="7E07A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1" w:hRule="atLeast"/>
          <w:jc w:val="center"/>
        </w:trPr>
        <w:tc>
          <w:tcPr>
            <w:tcW w:w="639" w:type="dxa"/>
            <w:noWrap w:val="0"/>
            <w:vAlign w:val="center"/>
          </w:tcPr>
          <w:p w14:paraId="53370258">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3</w:t>
            </w:r>
          </w:p>
        </w:tc>
        <w:tc>
          <w:tcPr>
            <w:tcW w:w="1124" w:type="dxa"/>
            <w:noWrap w:val="0"/>
            <w:vAlign w:val="center"/>
          </w:tcPr>
          <w:p w14:paraId="5270D991">
            <w:pPr>
              <w:pStyle w:val="152"/>
              <w:keepNext w:val="0"/>
              <w:keepLines w:val="0"/>
              <w:pageBreakBefore w:val="0"/>
              <w:widowControl w:val="0"/>
              <w:kinsoku/>
              <w:wordWrap/>
              <w:overflowPunct/>
              <w:topLinePunct w:val="0"/>
              <w:autoSpaceDE/>
              <w:autoSpaceDN/>
              <w:bidi w:val="0"/>
              <w:adjustRightInd/>
              <w:snapToGrid/>
              <w:spacing w:line="360" w:lineRule="auto"/>
              <w:ind w:left="0" w:right="0"/>
              <w:jc w:val="both"/>
              <w:textAlignment w:val="auto"/>
              <w:rPr>
                <w:rFonts w:hint="default" w:ascii="宋体" w:hAnsi="宋体" w:eastAsia="宋体" w:cs="宋体"/>
                <w:spacing w:val="6"/>
                <w:sz w:val="21"/>
                <w:szCs w:val="21"/>
                <w:lang w:val="en-US" w:eastAsia="zh-CN"/>
              </w:rPr>
            </w:pPr>
            <w:r>
              <w:rPr>
                <w:rFonts w:hint="eastAsia" w:ascii="宋体" w:hAnsi="宋体" w:eastAsia="宋体" w:cs="宋体"/>
                <w:spacing w:val="6"/>
                <w:sz w:val="21"/>
                <w:szCs w:val="21"/>
                <w:lang w:eastAsia="zh-CN"/>
              </w:rPr>
              <w:t>迷彩</w:t>
            </w:r>
            <w:r>
              <w:rPr>
                <w:rFonts w:hint="eastAsia" w:cs="宋体"/>
                <w:spacing w:val="6"/>
                <w:sz w:val="21"/>
                <w:szCs w:val="21"/>
                <w:lang w:val="en-US" w:eastAsia="zh-CN"/>
              </w:rPr>
              <w:t>套装</w:t>
            </w:r>
          </w:p>
        </w:tc>
        <w:tc>
          <w:tcPr>
            <w:tcW w:w="4623" w:type="dxa"/>
            <w:noWrap w:val="0"/>
            <w:vAlign w:val="top"/>
          </w:tcPr>
          <w:p w14:paraId="0C2A8F0A">
            <w:pPr>
              <w:pStyle w:val="152"/>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1、面料：斜纹面料</w:t>
            </w:r>
          </w:p>
          <w:p w14:paraId="7243EF29">
            <w:pPr>
              <w:pStyle w:val="152"/>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2、棉含量:≥35%、聚酯纤维≤65%</w:t>
            </w:r>
          </w:p>
          <w:p w14:paraId="5FB46876">
            <w:pPr>
              <w:pStyle w:val="152"/>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val="en-US" w:eastAsia="zh-CN"/>
              </w:rPr>
              <w:t>3</w:t>
            </w:r>
            <w:r>
              <w:rPr>
                <w:rFonts w:hint="eastAsia" w:ascii="宋体" w:hAnsi="宋体" w:eastAsia="宋体" w:cs="宋体"/>
                <w:spacing w:val="6"/>
                <w:sz w:val="21"/>
                <w:szCs w:val="21"/>
                <w:lang w:eastAsia="zh-CN"/>
              </w:rPr>
              <w:t>、产品符合GB18401-B类</w:t>
            </w:r>
          </w:p>
          <w:p w14:paraId="5E2A8A58">
            <w:pPr>
              <w:pStyle w:val="152"/>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4</w:t>
            </w:r>
            <w:r>
              <w:rPr>
                <w:rFonts w:hint="eastAsia" w:ascii="宋体" w:hAnsi="宋体" w:eastAsia="宋体" w:cs="宋体"/>
                <w:spacing w:val="6"/>
                <w:sz w:val="21"/>
                <w:szCs w:val="21"/>
                <w:lang w:eastAsia="zh-CN"/>
              </w:rPr>
              <w:t>、</w:t>
            </w:r>
            <w:r>
              <w:rPr>
                <w:rFonts w:hint="eastAsia" w:cs="宋体"/>
                <w:spacing w:val="6"/>
                <w:sz w:val="21"/>
                <w:szCs w:val="21"/>
                <w:lang w:val="en-US" w:eastAsia="zh-CN"/>
              </w:rPr>
              <w:t>裤子</w:t>
            </w:r>
            <w:r>
              <w:rPr>
                <w:rFonts w:hint="eastAsia" w:ascii="宋体" w:hAnsi="宋体" w:eastAsia="宋体" w:cs="宋体"/>
                <w:spacing w:val="6"/>
                <w:sz w:val="21"/>
                <w:szCs w:val="21"/>
                <w:lang w:eastAsia="zh-CN"/>
              </w:rPr>
              <w:t>裤裆</w:t>
            </w:r>
            <w:r>
              <w:rPr>
                <w:rFonts w:hint="eastAsia" w:cs="宋体"/>
                <w:spacing w:val="6"/>
                <w:sz w:val="21"/>
                <w:szCs w:val="21"/>
                <w:lang w:val="en-US" w:eastAsia="zh-CN"/>
              </w:rPr>
              <w:t>采用双针包封工艺加固，在档缝及受力点增加垫布，</w:t>
            </w:r>
            <w:r>
              <w:rPr>
                <w:rFonts w:hint="eastAsia" w:ascii="宋体" w:hAnsi="宋体" w:eastAsia="宋体" w:cs="宋体"/>
                <w:spacing w:val="6"/>
                <w:sz w:val="21"/>
                <w:szCs w:val="21"/>
                <w:lang w:eastAsia="zh-CN"/>
              </w:rPr>
              <w:t>接缝强力(N):≥200</w:t>
            </w:r>
          </w:p>
          <w:p w14:paraId="4E07E775">
            <w:pPr>
              <w:pStyle w:val="152"/>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5、</w:t>
            </w:r>
            <w:r>
              <w:rPr>
                <w:rFonts w:hint="eastAsia" w:ascii="宋体" w:hAnsi="宋体" w:eastAsia="宋体" w:cs="宋体"/>
                <w:spacing w:val="6"/>
                <w:sz w:val="21"/>
                <w:szCs w:val="21"/>
                <w:lang w:eastAsia="zh-CN"/>
              </w:rPr>
              <w:t>上衣袖口为平角、裤腰两侧松紧适宜。缝制内里要求：锁边或双包缝</w:t>
            </w:r>
            <w:r>
              <w:rPr>
                <w:rFonts w:hint="eastAsia" w:cs="宋体"/>
                <w:spacing w:val="6"/>
                <w:sz w:val="21"/>
                <w:szCs w:val="21"/>
                <w:lang w:eastAsia="zh-CN"/>
              </w:rPr>
              <w:t>。</w:t>
            </w:r>
          </w:p>
          <w:p w14:paraId="0CB032F3">
            <w:pPr>
              <w:pStyle w:val="152"/>
              <w:keepNext w:val="0"/>
              <w:keepLines w:val="0"/>
              <w:pageBreakBefore w:val="0"/>
              <w:widowControl w:val="0"/>
              <w:kinsoku/>
              <w:wordWrap/>
              <w:overflowPunct/>
              <w:topLinePunct w:val="0"/>
              <w:autoSpaceDE/>
              <w:autoSpaceDN/>
              <w:bidi w:val="0"/>
              <w:adjustRightInd/>
              <w:snapToGrid/>
              <w:spacing w:line="360" w:lineRule="auto"/>
              <w:ind w:left="0" w:right="0"/>
              <w:jc w:val="left"/>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6、</w:t>
            </w:r>
            <w:r>
              <w:rPr>
                <w:rFonts w:hint="eastAsia" w:ascii="宋体" w:hAnsi="宋体" w:eastAsia="宋体" w:cs="宋体"/>
                <w:spacing w:val="6"/>
                <w:sz w:val="21"/>
                <w:szCs w:val="21"/>
                <w:lang w:eastAsia="zh-CN"/>
              </w:rPr>
              <w:t>规格：150-200及特大</w:t>
            </w:r>
          </w:p>
        </w:tc>
        <w:tc>
          <w:tcPr>
            <w:tcW w:w="1005" w:type="dxa"/>
            <w:noWrap w:val="0"/>
            <w:vAlign w:val="center"/>
          </w:tcPr>
          <w:p w14:paraId="43E27BA2">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default" w:ascii="宋体" w:hAnsi="宋体" w:eastAsia="宋体" w:cs="宋体"/>
                <w:spacing w:val="6"/>
                <w:sz w:val="21"/>
                <w:szCs w:val="21"/>
                <w:lang w:val="en-US" w:eastAsia="zh-CN"/>
              </w:rPr>
            </w:pPr>
            <w:r>
              <w:rPr>
                <w:rFonts w:hint="eastAsia" w:cs="宋体"/>
                <w:spacing w:val="6"/>
                <w:sz w:val="21"/>
                <w:szCs w:val="21"/>
                <w:lang w:val="en-US" w:eastAsia="zh-CN"/>
              </w:rPr>
              <w:t>上衣1件、裤子2条</w:t>
            </w:r>
          </w:p>
        </w:tc>
        <w:tc>
          <w:tcPr>
            <w:tcW w:w="675" w:type="dxa"/>
            <w:noWrap w:val="0"/>
            <w:vAlign w:val="center"/>
          </w:tcPr>
          <w:p w14:paraId="1408042E">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default" w:cs="宋体"/>
                <w:spacing w:val="6"/>
                <w:sz w:val="21"/>
                <w:szCs w:val="21"/>
                <w:lang w:val="en-US" w:eastAsia="zh-CN"/>
              </w:rPr>
            </w:pPr>
            <w:r>
              <w:rPr>
                <w:rFonts w:hint="eastAsia" w:cs="宋体"/>
                <w:spacing w:val="6"/>
                <w:sz w:val="21"/>
                <w:szCs w:val="21"/>
                <w:lang w:val="en-US" w:eastAsia="zh-CN"/>
              </w:rPr>
              <w:t>套</w:t>
            </w:r>
          </w:p>
        </w:tc>
        <w:tc>
          <w:tcPr>
            <w:tcW w:w="735" w:type="dxa"/>
            <w:noWrap w:val="0"/>
            <w:vAlign w:val="center"/>
          </w:tcPr>
          <w:p w14:paraId="15BDF34C">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765" w:type="dxa"/>
            <w:noWrap w:val="0"/>
            <w:vAlign w:val="center"/>
          </w:tcPr>
          <w:p w14:paraId="78E36F4F">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1509" w:type="dxa"/>
            <w:noWrap w:val="0"/>
            <w:vAlign w:val="center"/>
          </w:tcPr>
          <w:p w14:paraId="298EECAE">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position w:val="-56"/>
                <w:sz w:val="21"/>
                <w:szCs w:val="21"/>
              </w:rPr>
              <w:drawing>
                <wp:inline distT="0" distB="0" distL="114300" distR="114300">
                  <wp:extent cx="480695" cy="915670"/>
                  <wp:effectExtent l="0" t="0" r="14605" b="17780"/>
                  <wp:docPr id="8" name="图片 3"/>
                  <wp:cNvGraphicFramePr/>
                  <a:graphic xmlns:a="http://schemas.openxmlformats.org/drawingml/2006/main">
                    <a:graphicData uri="http://schemas.openxmlformats.org/drawingml/2006/picture">
                      <pic:pic xmlns:pic="http://schemas.openxmlformats.org/drawingml/2006/picture">
                        <pic:nvPicPr>
                          <pic:cNvPr id="8" name="图片 3"/>
                          <pic:cNvPicPr/>
                        </pic:nvPicPr>
                        <pic:blipFill>
                          <a:blip r:embed="rId17"/>
                          <a:stretch>
                            <a:fillRect/>
                          </a:stretch>
                        </pic:blipFill>
                        <pic:spPr>
                          <a:xfrm>
                            <a:off x="0" y="0"/>
                            <a:ext cx="480695" cy="915670"/>
                          </a:xfrm>
                          <a:prstGeom prst="rect">
                            <a:avLst/>
                          </a:prstGeom>
                          <a:noFill/>
                          <a:ln>
                            <a:noFill/>
                          </a:ln>
                        </pic:spPr>
                      </pic:pic>
                    </a:graphicData>
                  </a:graphic>
                </wp:inline>
              </w:drawing>
            </w:r>
          </w:p>
        </w:tc>
      </w:tr>
      <w:tr w14:paraId="73D96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9" w:hRule="atLeast"/>
          <w:jc w:val="center"/>
        </w:trPr>
        <w:tc>
          <w:tcPr>
            <w:tcW w:w="639" w:type="dxa"/>
            <w:noWrap w:val="0"/>
            <w:vAlign w:val="center"/>
          </w:tcPr>
          <w:p w14:paraId="0EDD8047">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4</w:t>
            </w:r>
          </w:p>
        </w:tc>
        <w:tc>
          <w:tcPr>
            <w:tcW w:w="1124" w:type="dxa"/>
            <w:noWrap w:val="0"/>
            <w:vAlign w:val="center"/>
          </w:tcPr>
          <w:p w14:paraId="70EC2FDB">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编织腰带</w:t>
            </w:r>
          </w:p>
        </w:tc>
        <w:tc>
          <w:tcPr>
            <w:tcW w:w="4623" w:type="dxa"/>
            <w:noWrap w:val="0"/>
            <w:vAlign w:val="top"/>
          </w:tcPr>
          <w:p w14:paraId="47DFE996">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1、编织帆布腰带，结实，耐用。</w:t>
            </w:r>
          </w:p>
          <w:p w14:paraId="3CCF6B63">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 xml:space="preserve">2、内腰带：宽≥ </w:t>
            </w:r>
            <w:r>
              <w:rPr>
                <w:rFonts w:hint="eastAsia" w:ascii="宋体" w:hAnsi="宋体" w:eastAsia="宋体" w:cs="宋体"/>
                <w:spacing w:val="6"/>
                <w:sz w:val="21"/>
                <w:szCs w:val="21"/>
                <w:lang w:val="en-US" w:eastAsia="zh-CN"/>
              </w:rPr>
              <w:t>3</w:t>
            </w:r>
            <w:r>
              <w:rPr>
                <w:rFonts w:hint="eastAsia" w:ascii="宋体" w:hAnsi="宋体" w:eastAsia="宋体" w:cs="宋体"/>
                <w:spacing w:val="6"/>
                <w:sz w:val="21"/>
                <w:szCs w:val="21"/>
                <w:lang w:eastAsia="zh-CN"/>
              </w:rPr>
              <w:t>cm</w:t>
            </w:r>
            <w:r>
              <w:rPr>
                <w:rFonts w:hint="eastAsia" w:cs="宋体"/>
                <w:spacing w:val="6"/>
                <w:sz w:val="21"/>
                <w:szCs w:val="21"/>
                <w:lang w:eastAsia="zh-CN"/>
              </w:rPr>
              <w:t>，</w:t>
            </w:r>
            <w:r>
              <w:rPr>
                <w:rFonts w:hint="eastAsia" w:ascii="宋体" w:hAnsi="宋体" w:eastAsia="宋体" w:cs="宋体"/>
                <w:spacing w:val="6"/>
                <w:sz w:val="21"/>
                <w:szCs w:val="21"/>
                <w:lang w:eastAsia="zh-CN"/>
              </w:rPr>
              <w:t>外腰带</w:t>
            </w:r>
            <w:r>
              <w:rPr>
                <w:rFonts w:hint="eastAsia" w:cs="宋体"/>
                <w:spacing w:val="6"/>
                <w:sz w:val="21"/>
                <w:szCs w:val="21"/>
                <w:lang w:eastAsia="zh-CN"/>
              </w:rPr>
              <w:t>：</w:t>
            </w:r>
            <w:r>
              <w:rPr>
                <w:rFonts w:hint="eastAsia" w:ascii="宋体" w:hAnsi="宋体" w:eastAsia="宋体" w:cs="宋体"/>
                <w:spacing w:val="6"/>
                <w:sz w:val="21"/>
                <w:szCs w:val="21"/>
                <w:lang w:eastAsia="zh-CN"/>
              </w:rPr>
              <w:t xml:space="preserve">宽≥ </w:t>
            </w:r>
            <w:r>
              <w:rPr>
                <w:rFonts w:hint="eastAsia" w:ascii="宋体" w:hAnsi="宋体" w:eastAsia="宋体" w:cs="宋体"/>
                <w:spacing w:val="6"/>
                <w:sz w:val="21"/>
                <w:szCs w:val="21"/>
                <w:lang w:val="en-US" w:eastAsia="zh-CN"/>
              </w:rPr>
              <w:t>4</w:t>
            </w:r>
            <w:r>
              <w:rPr>
                <w:rFonts w:hint="eastAsia" w:ascii="宋体" w:hAnsi="宋体" w:eastAsia="宋体" w:cs="宋体"/>
                <w:spacing w:val="6"/>
                <w:sz w:val="21"/>
                <w:szCs w:val="21"/>
                <w:lang w:eastAsia="zh-CN"/>
              </w:rPr>
              <w:t>cm</w:t>
            </w:r>
          </w:p>
          <w:p w14:paraId="1F301C16">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val="en-US" w:eastAsia="zh-CN"/>
              </w:rPr>
              <w:t>3、</w:t>
            </w:r>
            <w:r>
              <w:rPr>
                <w:rFonts w:hint="eastAsia" w:ascii="宋体" w:hAnsi="宋体" w:eastAsia="宋体" w:cs="宋体"/>
                <w:spacing w:val="6"/>
                <w:sz w:val="21"/>
                <w:szCs w:val="21"/>
                <w:lang w:eastAsia="zh-CN"/>
              </w:rPr>
              <w:t>折合方式</w:t>
            </w:r>
            <w:r>
              <w:rPr>
                <w:rFonts w:hint="eastAsia" w:cs="宋体"/>
                <w:spacing w:val="6"/>
                <w:sz w:val="21"/>
                <w:szCs w:val="21"/>
                <w:lang w:eastAsia="zh-CN"/>
              </w:rPr>
              <w:t>：</w:t>
            </w:r>
            <w:r>
              <w:rPr>
                <w:rFonts w:hint="eastAsia" w:ascii="宋体" w:hAnsi="宋体" w:eastAsia="宋体" w:cs="宋体"/>
                <w:spacing w:val="6"/>
                <w:sz w:val="21"/>
                <w:szCs w:val="21"/>
                <w:lang w:eastAsia="zh-CN"/>
              </w:rPr>
              <w:t>插扣</w:t>
            </w:r>
          </w:p>
          <w:p w14:paraId="7A53D7FA">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4、</w:t>
            </w:r>
            <w:r>
              <w:rPr>
                <w:rFonts w:hint="eastAsia" w:ascii="宋体" w:hAnsi="宋体" w:eastAsia="宋体" w:cs="宋体"/>
                <w:spacing w:val="6"/>
                <w:sz w:val="21"/>
                <w:szCs w:val="21"/>
                <w:lang w:eastAsia="zh-CN"/>
              </w:rPr>
              <w:t>规格：均码</w:t>
            </w:r>
          </w:p>
        </w:tc>
        <w:tc>
          <w:tcPr>
            <w:tcW w:w="1005" w:type="dxa"/>
            <w:noWrap w:val="0"/>
            <w:vAlign w:val="center"/>
          </w:tcPr>
          <w:p w14:paraId="2B3FDF55">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default" w:ascii="宋体" w:hAnsi="宋体" w:eastAsia="宋体" w:cs="宋体"/>
                <w:spacing w:val="6"/>
                <w:sz w:val="21"/>
                <w:szCs w:val="21"/>
                <w:lang w:val="en-US" w:eastAsia="zh-CN"/>
              </w:rPr>
            </w:pPr>
            <w:r>
              <w:rPr>
                <w:rFonts w:hint="eastAsia" w:cs="宋体"/>
                <w:spacing w:val="6"/>
                <w:sz w:val="21"/>
                <w:szCs w:val="21"/>
                <w:lang w:val="en-US" w:eastAsia="zh-CN"/>
              </w:rPr>
              <w:t>2</w:t>
            </w:r>
          </w:p>
        </w:tc>
        <w:tc>
          <w:tcPr>
            <w:tcW w:w="675" w:type="dxa"/>
            <w:noWrap w:val="0"/>
            <w:vAlign w:val="center"/>
          </w:tcPr>
          <w:p w14:paraId="0E3C37AD">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r>
              <w:rPr>
                <w:rFonts w:hint="eastAsia" w:cs="宋体"/>
                <w:spacing w:val="6"/>
                <w:sz w:val="21"/>
                <w:szCs w:val="21"/>
                <w:lang w:val="en-US" w:eastAsia="zh-CN"/>
              </w:rPr>
              <w:t>条</w:t>
            </w:r>
          </w:p>
        </w:tc>
        <w:tc>
          <w:tcPr>
            <w:tcW w:w="735" w:type="dxa"/>
            <w:noWrap w:val="0"/>
            <w:vAlign w:val="center"/>
          </w:tcPr>
          <w:p w14:paraId="33509C0B">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765" w:type="dxa"/>
            <w:noWrap w:val="0"/>
            <w:vAlign w:val="center"/>
          </w:tcPr>
          <w:p w14:paraId="5A7D30A3">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1509" w:type="dxa"/>
            <w:noWrap w:val="0"/>
            <w:vAlign w:val="center"/>
          </w:tcPr>
          <w:p w14:paraId="01E1D62F">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position w:val="-44"/>
                <w:sz w:val="21"/>
                <w:szCs w:val="21"/>
              </w:rPr>
            </w:pPr>
            <w:r>
              <w:rPr>
                <w:rFonts w:hint="eastAsia" w:ascii="宋体" w:hAnsi="宋体" w:eastAsia="宋体" w:cs="宋体"/>
                <w:position w:val="-44"/>
                <w:sz w:val="21"/>
                <w:szCs w:val="21"/>
              </w:rPr>
              <w:drawing>
                <wp:inline distT="0" distB="0" distL="114300" distR="114300">
                  <wp:extent cx="455930" cy="775970"/>
                  <wp:effectExtent l="0" t="0" r="1270" b="5080"/>
                  <wp:docPr id="1" name="图片 4"/>
                  <wp:cNvGraphicFramePr/>
                  <a:graphic xmlns:a="http://schemas.openxmlformats.org/drawingml/2006/main">
                    <a:graphicData uri="http://schemas.openxmlformats.org/drawingml/2006/picture">
                      <pic:pic xmlns:pic="http://schemas.openxmlformats.org/drawingml/2006/picture">
                        <pic:nvPicPr>
                          <pic:cNvPr id="1" name="图片 4"/>
                          <pic:cNvPicPr/>
                        </pic:nvPicPr>
                        <pic:blipFill>
                          <a:blip r:embed="rId18"/>
                          <a:stretch>
                            <a:fillRect/>
                          </a:stretch>
                        </pic:blipFill>
                        <pic:spPr>
                          <a:xfrm>
                            <a:off x="0" y="0"/>
                            <a:ext cx="455930" cy="775970"/>
                          </a:xfrm>
                          <a:prstGeom prst="rect">
                            <a:avLst/>
                          </a:prstGeom>
                          <a:noFill/>
                          <a:ln>
                            <a:noFill/>
                          </a:ln>
                        </pic:spPr>
                      </pic:pic>
                    </a:graphicData>
                  </a:graphic>
                </wp:inline>
              </w:drawing>
            </w:r>
          </w:p>
          <w:p w14:paraId="2D9A8663">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position w:val="-44"/>
                <w:sz w:val="21"/>
                <w:szCs w:val="21"/>
                <w:lang w:eastAsia="zh-CN"/>
              </w:rPr>
            </w:pPr>
            <w:r>
              <w:drawing>
                <wp:inline distT="0" distB="0" distL="114300" distR="114300">
                  <wp:extent cx="583565" cy="148590"/>
                  <wp:effectExtent l="0" t="0" r="6985"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9"/>
                          <a:stretch>
                            <a:fillRect/>
                          </a:stretch>
                        </pic:blipFill>
                        <pic:spPr>
                          <a:xfrm>
                            <a:off x="0" y="0"/>
                            <a:ext cx="583565" cy="148590"/>
                          </a:xfrm>
                          <a:prstGeom prst="rect">
                            <a:avLst/>
                          </a:prstGeom>
                          <a:noFill/>
                          <a:ln>
                            <a:noFill/>
                          </a:ln>
                        </pic:spPr>
                      </pic:pic>
                    </a:graphicData>
                  </a:graphic>
                </wp:inline>
              </w:drawing>
            </w:r>
          </w:p>
        </w:tc>
      </w:tr>
      <w:tr w14:paraId="385CC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9" w:hRule="atLeast"/>
          <w:jc w:val="center"/>
        </w:trPr>
        <w:tc>
          <w:tcPr>
            <w:tcW w:w="639" w:type="dxa"/>
            <w:noWrap w:val="0"/>
            <w:vAlign w:val="center"/>
          </w:tcPr>
          <w:p w14:paraId="140F975A">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5</w:t>
            </w:r>
          </w:p>
        </w:tc>
        <w:tc>
          <w:tcPr>
            <w:tcW w:w="1124" w:type="dxa"/>
            <w:noWrap w:val="0"/>
            <w:vAlign w:val="center"/>
          </w:tcPr>
          <w:p w14:paraId="2F060070">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鞋子</w:t>
            </w:r>
          </w:p>
        </w:tc>
        <w:tc>
          <w:tcPr>
            <w:tcW w:w="4623" w:type="dxa"/>
            <w:noWrap w:val="0"/>
            <w:vAlign w:val="top"/>
          </w:tcPr>
          <w:p w14:paraId="43DA3A8A">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1、围条与鞋帮黏合强度（N/mm）≥2.0。</w:t>
            </w:r>
          </w:p>
          <w:p w14:paraId="39F91EB4">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ascii="宋体" w:hAnsi="宋体" w:eastAsia="宋体" w:cs="宋体"/>
                <w:spacing w:val="6"/>
                <w:sz w:val="21"/>
                <w:szCs w:val="21"/>
                <w:lang w:eastAsia="zh-CN"/>
              </w:rPr>
              <w:t>2、拉伸强度≥8.0MPa，扯断伸长率（%）≥360，硬度（邵尔 A）度≤75，外底磨耗量≤2.0kN/m，粘合强度≥1.6。</w:t>
            </w:r>
          </w:p>
          <w:p w14:paraId="588B5586">
            <w:pPr>
              <w:pStyle w:val="152"/>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6"/>
                <w:sz w:val="21"/>
                <w:szCs w:val="21"/>
                <w:lang w:eastAsia="zh-CN"/>
              </w:rPr>
            </w:pPr>
            <w:r>
              <w:rPr>
                <w:rFonts w:hint="eastAsia" w:cs="宋体"/>
                <w:spacing w:val="6"/>
                <w:sz w:val="21"/>
                <w:szCs w:val="21"/>
                <w:lang w:val="en-US" w:eastAsia="zh-CN"/>
              </w:rPr>
              <w:t>3、</w:t>
            </w:r>
            <w:r>
              <w:rPr>
                <w:rFonts w:hint="eastAsia" w:ascii="宋体" w:hAnsi="宋体" w:eastAsia="宋体" w:cs="宋体"/>
                <w:spacing w:val="6"/>
                <w:sz w:val="21"/>
                <w:szCs w:val="21"/>
                <w:lang w:eastAsia="zh-CN"/>
              </w:rPr>
              <w:t>规格：34-47码</w:t>
            </w:r>
          </w:p>
        </w:tc>
        <w:tc>
          <w:tcPr>
            <w:tcW w:w="1005" w:type="dxa"/>
            <w:noWrap w:val="0"/>
            <w:vAlign w:val="center"/>
          </w:tcPr>
          <w:p w14:paraId="10A55059">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default" w:ascii="宋体" w:hAnsi="宋体" w:eastAsia="宋体" w:cs="宋体"/>
                <w:spacing w:val="6"/>
                <w:sz w:val="21"/>
                <w:szCs w:val="21"/>
                <w:lang w:val="en-US" w:eastAsia="zh-CN"/>
              </w:rPr>
            </w:pPr>
            <w:r>
              <w:rPr>
                <w:rFonts w:hint="eastAsia" w:cs="宋体"/>
                <w:spacing w:val="6"/>
                <w:sz w:val="21"/>
                <w:szCs w:val="21"/>
                <w:lang w:val="en-US" w:eastAsia="zh-CN"/>
              </w:rPr>
              <w:t>1</w:t>
            </w:r>
          </w:p>
        </w:tc>
        <w:tc>
          <w:tcPr>
            <w:tcW w:w="675" w:type="dxa"/>
            <w:noWrap w:val="0"/>
            <w:vAlign w:val="center"/>
          </w:tcPr>
          <w:p w14:paraId="3B09A1FC">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r>
              <w:rPr>
                <w:rFonts w:hint="eastAsia" w:cs="宋体"/>
                <w:spacing w:val="6"/>
                <w:sz w:val="21"/>
                <w:szCs w:val="21"/>
                <w:lang w:val="en-US" w:eastAsia="zh-CN"/>
              </w:rPr>
              <w:t>双</w:t>
            </w:r>
          </w:p>
        </w:tc>
        <w:tc>
          <w:tcPr>
            <w:tcW w:w="735" w:type="dxa"/>
            <w:noWrap w:val="0"/>
            <w:vAlign w:val="center"/>
          </w:tcPr>
          <w:p w14:paraId="5371AC77">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765" w:type="dxa"/>
            <w:noWrap w:val="0"/>
            <w:vAlign w:val="center"/>
          </w:tcPr>
          <w:p w14:paraId="32BC1AAE">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cs="宋体"/>
                <w:spacing w:val="6"/>
                <w:sz w:val="21"/>
                <w:szCs w:val="21"/>
                <w:lang w:val="en-US" w:eastAsia="zh-CN"/>
              </w:rPr>
            </w:pPr>
          </w:p>
        </w:tc>
        <w:tc>
          <w:tcPr>
            <w:tcW w:w="1509" w:type="dxa"/>
            <w:noWrap w:val="0"/>
            <w:vAlign w:val="center"/>
          </w:tcPr>
          <w:p w14:paraId="084AA62F">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spacing w:val="6"/>
                <w:sz w:val="21"/>
                <w:szCs w:val="21"/>
                <w:lang w:eastAsia="zh-CN"/>
              </w:rPr>
            </w:pPr>
            <w:r>
              <w:rPr>
                <w:rFonts w:hint="eastAsia" w:ascii="宋体" w:hAnsi="宋体" w:eastAsia="宋体" w:cs="宋体"/>
                <w:position w:val="-30"/>
                <w:sz w:val="21"/>
                <w:szCs w:val="21"/>
              </w:rPr>
              <w:drawing>
                <wp:inline distT="0" distB="0" distL="114300" distR="114300">
                  <wp:extent cx="537845" cy="975995"/>
                  <wp:effectExtent l="0" t="0" r="14605" b="14605"/>
                  <wp:docPr id="11" name="图片 6"/>
                  <wp:cNvGraphicFramePr/>
                  <a:graphic xmlns:a="http://schemas.openxmlformats.org/drawingml/2006/main">
                    <a:graphicData uri="http://schemas.openxmlformats.org/drawingml/2006/picture">
                      <pic:pic xmlns:pic="http://schemas.openxmlformats.org/drawingml/2006/picture">
                        <pic:nvPicPr>
                          <pic:cNvPr id="11" name="图片 6"/>
                          <pic:cNvPicPr/>
                        </pic:nvPicPr>
                        <pic:blipFill>
                          <a:blip r:embed="rId20"/>
                          <a:stretch>
                            <a:fillRect/>
                          </a:stretch>
                        </pic:blipFill>
                        <pic:spPr>
                          <a:xfrm>
                            <a:off x="0" y="0"/>
                            <a:ext cx="537845" cy="975995"/>
                          </a:xfrm>
                          <a:prstGeom prst="rect">
                            <a:avLst/>
                          </a:prstGeom>
                          <a:noFill/>
                          <a:ln>
                            <a:noFill/>
                          </a:ln>
                        </pic:spPr>
                      </pic:pic>
                    </a:graphicData>
                  </a:graphic>
                </wp:inline>
              </w:drawing>
            </w:r>
          </w:p>
        </w:tc>
      </w:tr>
      <w:tr w14:paraId="2A013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jc w:val="center"/>
        </w:trPr>
        <w:tc>
          <w:tcPr>
            <w:tcW w:w="8801" w:type="dxa"/>
            <w:gridSpan w:val="6"/>
            <w:noWrap w:val="0"/>
            <w:vAlign w:val="center"/>
          </w:tcPr>
          <w:p w14:paraId="6F0D5D78">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default" w:cs="宋体"/>
                <w:spacing w:val="6"/>
                <w:sz w:val="21"/>
                <w:szCs w:val="21"/>
                <w:lang w:val="en-US" w:eastAsia="zh-CN"/>
              </w:rPr>
            </w:pPr>
            <w:r>
              <w:rPr>
                <w:rFonts w:hint="eastAsia" w:cs="宋体"/>
                <w:spacing w:val="6"/>
                <w:sz w:val="21"/>
                <w:szCs w:val="21"/>
                <w:lang w:val="en-US" w:eastAsia="zh-CN"/>
              </w:rPr>
              <w:t>合计</w:t>
            </w:r>
          </w:p>
        </w:tc>
        <w:tc>
          <w:tcPr>
            <w:tcW w:w="2274" w:type="dxa"/>
            <w:gridSpan w:val="2"/>
            <w:noWrap w:val="0"/>
            <w:vAlign w:val="center"/>
          </w:tcPr>
          <w:p w14:paraId="1F386035">
            <w:pPr>
              <w:pStyle w:val="152"/>
              <w:keepNext w:val="0"/>
              <w:keepLines w:val="0"/>
              <w:pageBreakBefore w:val="0"/>
              <w:widowControl w:val="0"/>
              <w:kinsoku/>
              <w:wordWrap/>
              <w:overflowPunct/>
              <w:topLinePunct w:val="0"/>
              <w:autoSpaceDE/>
              <w:autoSpaceDN/>
              <w:bidi w:val="0"/>
              <w:adjustRightInd/>
              <w:snapToGrid/>
              <w:spacing w:line="360" w:lineRule="auto"/>
              <w:ind w:left="0" w:right="0"/>
              <w:jc w:val="center"/>
              <w:textAlignment w:val="auto"/>
              <w:rPr>
                <w:rFonts w:hint="eastAsia" w:ascii="宋体" w:hAnsi="宋体" w:eastAsia="宋体" w:cs="宋体"/>
                <w:position w:val="-30"/>
                <w:sz w:val="21"/>
                <w:szCs w:val="21"/>
              </w:rPr>
            </w:pPr>
          </w:p>
        </w:tc>
      </w:tr>
    </w:tbl>
    <w:p w14:paraId="66BEF721">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3、投标人的响应文件必须标明所投货物的品牌与参数，保证原厂正品供货。</w:t>
      </w:r>
    </w:p>
    <w:p w14:paraId="0E4EC39A">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4、投标人文件需提供国家认可的第三方检测机构出具的CMA检测报告（检验项目应包含采购需求中规定的各项参数要求）。</w:t>
      </w:r>
    </w:p>
    <w:p w14:paraId="0E6E301D">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5、投标现场提供整套军训服装样品。</w:t>
      </w:r>
    </w:p>
    <w:p w14:paraId="34D5A1B9">
      <w:pPr>
        <w:adjustRightInd/>
        <w:spacing w:line="360" w:lineRule="auto"/>
        <w:ind w:firstLine="482" w:firstLineChars="200"/>
        <w:rPr>
          <w:rFonts w:hint="eastAsia" w:ascii="宋体" w:hAnsi="宋体" w:eastAsia="宋体" w:cs="宋体"/>
          <w:b/>
          <w:bCs/>
          <w:kern w:val="2"/>
          <w:sz w:val="24"/>
          <w:szCs w:val="24"/>
          <w:lang w:val="en-US" w:eastAsia="zh-CN"/>
        </w:rPr>
      </w:pPr>
    </w:p>
    <w:p w14:paraId="6A2FEB8C">
      <w:pPr>
        <w:adjustRightInd/>
        <w:spacing w:line="360" w:lineRule="auto"/>
        <w:rPr>
          <w:rFonts w:hint="eastAsia" w:ascii="宋体" w:hAnsi="宋体" w:eastAsia="宋体" w:cs="宋体"/>
          <w:b/>
          <w:bCs/>
          <w:kern w:val="2"/>
          <w:sz w:val="24"/>
          <w:szCs w:val="24"/>
          <w:lang w:val="en-US" w:eastAsia="zh-CN"/>
        </w:rPr>
      </w:pPr>
      <w:r>
        <w:rPr>
          <w:rFonts w:hint="eastAsia" w:ascii="宋体" w:hAnsi="宋体" w:eastAsia="宋体" w:cs="宋体"/>
          <w:b/>
          <w:bCs/>
          <w:kern w:val="2"/>
          <w:sz w:val="24"/>
          <w:szCs w:val="24"/>
          <w:lang w:val="en-US" w:eastAsia="zh-CN"/>
        </w:rPr>
        <w:t>四、其他要求</w:t>
      </w:r>
    </w:p>
    <w:p w14:paraId="7A96C9EB">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1、军训服装应于2026年8月31日前完成全部生产，根据校方通知日期（暂定2026年10月8日）送货，免费送至采购人指定地点并按采购人指定时间免费发放。投标人需充分考虑军训服装生产时间和供货日期。</w:t>
      </w:r>
    </w:p>
    <w:p w14:paraId="14A621B4">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 xml:space="preserve">2、成交供应商在发放前需要实地勘察发放场地，并有应对极端天气的措施（如下大雨）。另需至少多准备总数5%的服装（含特殊尺码）备用，并且在采购人指定时间当天完成所有服装的发放及尺码大小调换等事宜，并免费负责进行大小的更换和军训期间非人为因素损坏的更换。  </w:t>
      </w:r>
    </w:p>
    <w:p w14:paraId="3C6C1306">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3、验收：服装检测严格落实“双送检”制度</w:t>
      </w:r>
    </w:p>
    <w:p w14:paraId="750621CC">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3.1成交供应商首检。货物交付前，成交供应商需将原材料及成品套装送具备法定资质的检验机构进行检验，确保符合相关国家标准(如GB18401、GB31701、GB/T31888等)，并需向学校提供1套成品套装样品及相应的检验合格报告，检验费用由成交供应商自行承担。样品通过采购人认可后方可供货，未提供检测结论为合格的检测报告采购人有权拒收服装。</w:t>
      </w:r>
    </w:p>
    <w:p w14:paraId="23569482">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3.2采购人复检。服装在运抵采购人处后，学校按照《纤维制品质量监督管理办法》(原国家质检总局第178号令)规定，建立并执行服装验收抽检制度，即在军训服装中随机抽取1套，当场封存并送有权检验机构检测，检验费用由采购人承担，送检合格的服装按照采购人要求发放；若检测不合格，则由成交人将所有服装运回，采购人有权解除合同，给采购人带来损失的所有责任由成交人承担。</w:t>
      </w:r>
    </w:p>
    <w:p w14:paraId="34C61E94">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3.3结论：完成本项目全部内容后，成交供应商和采购人双方共同实施验收工作，并出具验收报告，结果和验收报告经双方确认后生效。</w:t>
      </w:r>
    </w:p>
    <w:p w14:paraId="4BF0E9EF">
      <w:pPr>
        <w:adjustRightInd/>
        <w:spacing w:line="360" w:lineRule="auto"/>
        <w:rPr>
          <w:rFonts w:hint="eastAsia" w:ascii="宋体" w:hAnsi="宋体" w:eastAsia="宋体" w:cs="宋体"/>
          <w:kern w:val="2"/>
          <w:sz w:val="24"/>
          <w:szCs w:val="24"/>
          <w:lang w:val="en-US" w:eastAsia="zh-CN"/>
        </w:rPr>
      </w:pPr>
    </w:p>
    <w:p w14:paraId="2A283E78">
      <w:pPr>
        <w:adjustRightInd/>
        <w:spacing w:line="360" w:lineRule="auto"/>
      </w:pPr>
      <w:r>
        <w:rPr>
          <w:rFonts w:hint="eastAsia" w:ascii="宋体" w:hAnsi="宋体" w:eastAsia="宋体" w:cs="宋体"/>
          <w:b/>
          <w:bCs/>
          <w:kern w:val="2"/>
          <w:sz w:val="24"/>
          <w:szCs w:val="24"/>
          <w:lang w:val="en-US" w:eastAsia="zh-CN"/>
        </w:rPr>
        <w:t>五、样品要求</w:t>
      </w:r>
    </w:p>
    <w:p w14:paraId="72889C11">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1、投标人文件需提供国家认可的第三方检测机构出具的CMA检测报告（检验项目应包含采购需求中规定的各项参数要求）。</w:t>
      </w:r>
    </w:p>
    <w:p w14:paraId="6EFAE520">
      <w:pPr>
        <w:adjustRightInd/>
        <w:spacing w:line="360" w:lineRule="auto"/>
        <w:ind w:firstLine="480" w:firstLineChars="200"/>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2、投标现场提供整套军训服装样品。</w:t>
      </w:r>
    </w:p>
    <w:p w14:paraId="674402A0">
      <w:pPr>
        <w:pStyle w:val="57"/>
        <w:rPr>
          <w:rFonts w:hint="eastAsia"/>
          <w:lang w:val="en-US" w:eastAsia="zh-CN"/>
        </w:rPr>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8D4ED91">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第四章 评审方法与标准</w:t>
      </w:r>
      <w:bookmarkEnd w:id="52"/>
    </w:p>
    <w:p w14:paraId="5A12204F">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 xml:space="preserve">一、总则 </w:t>
      </w:r>
    </w:p>
    <w:p w14:paraId="35054D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本项目将按照竞争性谈判文件第二章 竞争性谈判须知的相关要求及本章的规定评审。</w:t>
      </w:r>
    </w:p>
    <w:p w14:paraId="3224582E">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eastAsia="宋体" w:cs="Times New Roman"/>
          <w:b/>
          <w:color w:val="auto"/>
          <w:sz w:val="24"/>
          <w:szCs w:val="24"/>
          <w:lang w:val="en-US" w:eastAsia="zh-CN" w:bidi="ar-SA"/>
        </w:rPr>
        <w:t>二、</w:t>
      </w:r>
      <w:r>
        <w:rPr>
          <w:rFonts w:hint="eastAsia" w:ascii="宋体" w:hAnsi="宋体"/>
          <w:b/>
          <w:color w:val="auto"/>
          <w:sz w:val="24"/>
          <w:szCs w:val="24"/>
          <w:highlight w:val="none"/>
          <w:lang w:val="en-US" w:eastAsia="zh-CN"/>
        </w:rPr>
        <w:t>评审方法：</w:t>
      </w:r>
    </w:p>
    <w:p w14:paraId="196C9DA4">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初审。谈判</w:t>
      </w:r>
      <w:r>
        <w:rPr>
          <w:rFonts w:hint="default" w:ascii="宋体" w:hAnsi="宋体" w:eastAsia="宋体" w:cs="Times New Roman"/>
          <w:color w:val="auto"/>
          <w:sz w:val="24"/>
          <w:highlight w:val="none"/>
          <w:lang w:val="en-US" w:eastAsia="zh-CN"/>
        </w:rPr>
        <w:t>小组对供应商的响应文件进行初审，以确定其是否满足竞争性谈判文件的实质性要求。初审表如下</w:t>
      </w:r>
      <w:r>
        <w:rPr>
          <w:rFonts w:hint="eastAsia" w:ascii="宋体" w:hAnsi="宋体" w:eastAsia="宋体" w:cs="Times New Roman"/>
          <w:color w:val="auto"/>
          <w:sz w:val="24"/>
          <w:highlight w:val="none"/>
          <w:lang w:val="en-US" w:eastAsia="zh-CN"/>
        </w:rPr>
        <w:t>：</w:t>
      </w:r>
    </w:p>
    <w:tbl>
      <w:tblPr>
        <w:tblStyle w:val="41"/>
        <w:tblW w:w="9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688"/>
        <w:gridCol w:w="4046"/>
        <w:gridCol w:w="3210"/>
      </w:tblGrid>
      <w:tr w14:paraId="57E6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730" w:type="dxa"/>
            <w:gridSpan w:val="4"/>
            <w:tcBorders>
              <w:bottom w:val="single" w:color="auto" w:sz="4" w:space="0"/>
            </w:tcBorders>
            <w:vAlign w:val="center"/>
          </w:tcPr>
          <w:p w14:paraId="206FEE8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初审表</w:t>
            </w:r>
          </w:p>
        </w:tc>
      </w:tr>
      <w:tr w14:paraId="6F0E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373AB34E">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1688" w:type="dxa"/>
            <w:tcBorders>
              <w:bottom w:val="single" w:color="auto" w:sz="4" w:space="0"/>
            </w:tcBorders>
            <w:vAlign w:val="center"/>
          </w:tcPr>
          <w:p w14:paraId="66F8D809">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评审指标</w:t>
            </w:r>
          </w:p>
        </w:tc>
        <w:tc>
          <w:tcPr>
            <w:tcW w:w="4046" w:type="dxa"/>
            <w:tcBorders>
              <w:bottom w:val="single" w:color="auto" w:sz="4" w:space="0"/>
            </w:tcBorders>
            <w:vAlign w:val="center"/>
          </w:tcPr>
          <w:p w14:paraId="38C7D392">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评审标准</w:t>
            </w:r>
          </w:p>
        </w:tc>
        <w:tc>
          <w:tcPr>
            <w:tcW w:w="3210" w:type="dxa"/>
            <w:tcBorders>
              <w:bottom w:val="single" w:color="auto" w:sz="4" w:space="0"/>
            </w:tcBorders>
            <w:vAlign w:val="center"/>
          </w:tcPr>
          <w:p w14:paraId="39A39E98">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格式及材料要求</w:t>
            </w:r>
          </w:p>
        </w:tc>
      </w:tr>
      <w:tr w14:paraId="58D9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Align w:val="center"/>
          </w:tcPr>
          <w:p w14:paraId="140C12B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688" w:type="dxa"/>
            <w:vAlign w:val="center"/>
          </w:tcPr>
          <w:p w14:paraId="7D32724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营业执照等证明文件</w:t>
            </w:r>
          </w:p>
        </w:tc>
        <w:tc>
          <w:tcPr>
            <w:tcW w:w="4046" w:type="dxa"/>
            <w:tcBorders>
              <w:bottom w:val="single" w:color="auto" w:sz="4" w:space="0"/>
            </w:tcBorders>
            <w:vAlign w:val="center"/>
          </w:tcPr>
          <w:p w14:paraId="2BDE321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（1）供应商为企业的，应提供有效的营业执照；</w:t>
            </w:r>
          </w:p>
          <w:p w14:paraId="5BF64BC7">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（2）供应商为事业单位的，应提供有效的事业单位法人证书；</w:t>
            </w:r>
          </w:p>
          <w:p w14:paraId="42C745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（3）供应商是非企业机构的，应提供有效的执业许可证或登记证书等证明文件；</w:t>
            </w:r>
          </w:p>
          <w:p w14:paraId="18019D58">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（4）供应商是个体工商户的，应提供有效的个体工商户营业执照；</w:t>
            </w:r>
          </w:p>
          <w:p w14:paraId="4CBE0B6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（5）供应商是自然人的，应提供有效的自然人身份证明；</w:t>
            </w:r>
          </w:p>
        </w:tc>
        <w:tc>
          <w:tcPr>
            <w:tcW w:w="3210" w:type="dxa"/>
            <w:vAlign w:val="center"/>
          </w:tcPr>
          <w:p w14:paraId="0829E88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1B713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1CBE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tcBorders>
              <w:bottom w:val="single" w:color="auto" w:sz="4" w:space="0"/>
            </w:tcBorders>
            <w:vAlign w:val="center"/>
          </w:tcPr>
          <w:p w14:paraId="23E7A57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688" w:type="dxa"/>
            <w:tcBorders>
              <w:bottom w:val="single" w:color="auto" w:sz="4" w:space="0"/>
            </w:tcBorders>
            <w:vAlign w:val="center"/>
          </w:tcPr>
          <w:p w14:paraId="428644D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供应商信用</w:t>
            </w:r>
          </w:p>
          <w:p w14:paraId="1C3C7BE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记录</w:t>
            </w:r>
          </w:p>
        </w:tc>
        <w:tc>
          <w:tcPr>
            <w:tcW w:w="4046" w:type="dxa"/>
            <w:tcBorders>
              <w:bottom w:val="single" w:color="auto" w:sz="4" w:space="0"/>
            </w:tcBorders>
            <w:vAlign w:val="center"/>
          </w:tcPr>
          <w:p w14:paraId="78CFA8F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供应商不得存在供应商须知正文</w:t>
            </w:r>
          </w:p>
          <w:p w14:paraId="0A882A6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第14.3.1条中的不良信用记录情形</w:t>
            </w:r>
          </w:p>
        </w:tc>
        <w:tc>
          <w:tcPr>
            <w:tcW w:w="3210" w:type="dxa"/>
            <w:tcBorders>
              <w:bottom w:val="single" w:color="auto" w:sz="4" w:space="0"/>
            </w:tcBorders>
            <w:vAlign w:val="center"/>
          </w:tcPr>
          <w:p w14:paraId="0A7F917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无须供应商提供，由采购人或采购代理机构查询。</w:t>
            </w:r>
          </w:p>
        </w:tc>
      </w:tr>
      <w:tr w14:paraId="232C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0A6898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688" w:type="dxa"/>
            <w:tcBorders>
              <w:bottom w:val="single" w:color="auto" w:sz="4" w:space="0"/>
            </w:tcBorders>
            <w:vAlign w:val="center"/>
          </w:tcPr>
          <w:p w14:paraId="630A877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w:t>
            </w:r>
          </w:p>
          <w:p w14:paraId="6D8A10E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声明书</w:t>
            </w:r>
          </w:p>
        </w:tc>
        <w:tc>
          <w:tcPr>
            <w:tcW w:w="4046" w:type="dxa"/>
            <w:tcBorders>
              <w:bottom w:val="single" w:color="auto" w:sz="4" w:space="0"/>
            </w:tcBorders>
            <w:vAlign w:val="center"/>
          </w:tcPr>
          <w:p w14:paraId="09CC015F">
            <w:pPr>
              <w:spacing w:line="360" w:lineRule="auto"/>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提供符合谈判文件要求的</w:t>
            </w:r>
            <w:r>
              <w:rPr>
                <w:rFonts w:hint="eastAsia" w:ascii="宋体" w:hAnsi="宋体" w:cs="宋体"/>
                <w:color w:val="auto"/>
                <w:sz w:val="24"/>
                <w:szCs w:val="24"/>
                <w:highlight w:val="none"/>
                <w:lang w:val="en-US" w:eastAsia="zh-CN"/>
              </w:rPr>
              <w:t xml:space="preserve"> </w:t>
            </w:r>
          </w:p>
          <w:p w14:paraId="28A6140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《供应商资格声明书》</w:t>
            </w:r>
          </w:p>
        </w:tc>
        <w:tc>
          <w:tcPr>
            <w:tcW w:w="3210" w:type="dxa"/>
            <w:tcBorders>
              <w:bottom w:val="single" w:color="auto" w:sz="4" w:space="0"/>
            </w:tcBorders>
            <w:vAlign w:val="center"/>
          </w:tcPr>
          <w:p w14:paraId="7919367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E6D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0EA1C9E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688" w:type="dxa"/>
            <w:vAlign w:val="center"/>
          </w:tcPr>
          <w:p w14:paraId="52DED86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其它落实政府采购政策的</w:t>
            </w:r>
          </w:p>
          <w:p w14:paraId="607F8E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资格要求</w:t>
            </w:r>
          </w:p>
        </w:tc>
        <w:tc>
          <w:tcPr>
            <w:tcW w:w="4046" w:type="dxa"/>
            <w:vAlign w:val="center"/>
          </w:tcPr>
          <w:p w14:paraId="6BE1AEF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4161B97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29C4799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F4B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EC49C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1688" w:type="dxa"/>
            <w:vAlign w:val="center"/>
          </w:tcPr>
          <w:p w14:paraId="4B8AA50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本项目的特定资格要求</w:t>
            </w:r>
          </w:p>
        </w:tc>
        <w:tc>
          <w:tcPr>
            <w:tcW w:w="4046" w:type="dxa"/>
            <w:vAlign w:val="center"/>
          </w:tcPr>
          <w:p w14:paraId="1BF8DD9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10406D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3BBCD02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0F4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0987D7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1688" w:type="dxa"/>
            <w:vAlign w:val="center"/>
          </w:tcPr>
          <w:p w14:paraId="6C07E4E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谈判响应函</w:t>
            </w:r>
          </w:p>
        </w:tc>
        <w:tc>
          <w:tcPr>
            <w:tcW w:w="4046" w:type="dxa"/>
            <w:vAlign w:val="center"/>
          </w:tcPr>
          <w:p w14:paraId="0641C9F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09EB3B9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3195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786" w:type="dxa"/>
            <w:vAlign w:val="center"/>
          </w:tcPr>
          <w:p w14:paraId="461CA57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1688" w:type="dxa"/>
            <w:vAlign w:val="center"/>
          </w:tcPr>
          <w:p w14:paraId="5D20800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授权书</w:t>
            </w:r>
          </w:p>
        </w:tc>
        <w:tc>
          <w:tcPr>
            <w:tcW w:w="4046" w:type="dxa"/>
            <w:vAlign w:val="center"/>
          </w:tcPr>
          <w:p w14:paraId="473B841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5644922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法定代表人参加谈判的无需此件，提供身份证明即可。详见第六章响应文件格式  </w:t>
            </w:r>
          </w:p>
        </w:tc>
      </w:tr>
      <w:tr w14:paraId="6E38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786" w:type="dxa"/>
            <w:vAlign w:val="center"/>
          </w:tcPr>
          <w:p w14:paraId="14CA604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1688" w:type="dxa"/>
            <w:vAlign w:val="center"/>
          </w:tcPr>
          <w:p w14:paraId="52BA8DC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谈判报价</w:t>
            </w:r>
          </w:p>
        </w:tc>
        <w:tc>
          <w:tcPr>
            <w:tcW w:w="4046" w:type="dxa"/>
            <w:vAlign w:val="center"/>
          </w:tcPr>
          <w:p w14:paraId="458ABF1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符合谈判文件供应商须知正文</w:t>
            </w:r>
          </w:p>
          <w:p w14:paraId="17CF66F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第9条要求</w:t>
            </w:r>
          </w:p>
        </w:tc>
        <w:tc>
          <w:tcPr>
            <w:tcW w:w="3210" w:type="dxa"/>
            <w:vAlign w:val="center"/>
          </w:tcPr>
          <w:p w14:paraId="7BF7BF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21C7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86" w:type="dxa"/>
            <w:vAlign w:val="center"/>
          </w:tcPr>
          <w:p w14:paraId="0232AA4E">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1688" w:type="dxa"/>
            <w:vAlign w:val="center"/>
          </w:tcPr>
          <w:p w14:paraId="4B5ED20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商务响应情况</w:t>
            </w:r>
          </w:p>
        </w:tc>
        <w:tc>
          <w:tcPr>
            <w:tcW w:w="4046" w:type="dxa"/>
            <w:vAlign w:val="center"/>
          </w:tcPr>
          <w:p w14:paraId="32201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符合谈判文件采购需求中对付款方式、供货期限、供货地点、免费质保期等实质性要求</w:t>
            </w:r>
          </w:p>
        </w:tc>
        <w:tc>
          <w:tcPr>
            <w:tcW w:w="3210" w:type="dxa"/>
            <w:vAlign w:val="center"/>
          </w:tcPr>
          <w:p w14:paraId="448D3FF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64F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6F62DAE">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1688" w:type="dxa"/>
            <w:vAlign w:val="center"/>
          </w:tcPr>
          <w:p w14:paraId="0B7EA9B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技术</w:t>
            </w:r>
            <w:r>
              <w:rPr>
                <w:rFonts w:hint="eastAsia" w:ascii="宋体" w:hAnsi="宋体" w:eastAsia="宋体" w:cs="宋体"/>
                <w:color w:val="auto"/>
                <w:sz w:val="24"/>
                <w:szCs w:val="24"/>
                <w:highlight w:val="none"/>
                <w:lang w:val="en-US" w:eastAsia="zh-CN"/>
              </w:rPr>
              <w:t>响应情况</w:t>
            </w:r>
          </w:p>
        </w:tc>
        <w:tc>
          <w:tcPr>
            <w:tcW w:w="4046" w:type="dxa"/>
            <w:vAlign w:val="center"/>
          </w:tcPr>
          <w:p w14:paraId="3F62A6AA">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符合谈判文件采购需求中货物</w:t>
            </w:r>
          </w:p>
          <w:p w14:paraId="7C278BFD">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技术参数</w:t>
            </w:r>
          </w:p>
        </w:tc>
        <w:tc>
          <w:tcPr>
            <w:tcW w:w="3210" w:type="dxa"/>
            <w:vAlign w:val="center"/>
          </w:tcPr>
          <w:p w14:paraId="2086038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09E7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205B530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1688" w:type="dxa"/>
            <w:vAlign w:val="center"/>
          </w:tcPr>
          <w:p w14:paraId="74CF66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其他要求</w:t>
            </w:r>
          </w:p>
        </w:tc>
        <w:tc>
          <w:tcPr>
            <w:tcW w:w="4046" w:type="dxa"/>
            <w:vAlign w:val="center"/>
          </w:tcPr>
          <w:p w14:paraId="6644735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符合法律、行政法规规定的其他条件或谈判文件列明的其他实质性要求</w:t>
            </w:r>
          </w:p>
        </w:tc>
        <w:tc>
          <w:tcPr>
            <w:tcW w:w="3210" w:type="dxa"/>
            <w:vAlign w:val="center"/>
          </w:tcPr>
          <w:p w14:paraId="5AFB665F">
            <w:pPr>
              <w:spacing w:line="360" w:lineRule="auto"/>
              <w:jc w:val="center"/>
              <w:rPr>
                <w:rFonts w:hint="eastAsia" w:ascii="宋体" w:hAnsi="宋体" w:eastAsia="宋体" w:cs="宋体"/>
                <w:color w:val="auto"/>
                <w:sz w:val="24"/>
                <w:szCs w:val="24"/>
                <w:highlight w:val="none"/>
                <w:lang w:val="en-US" w:eastAsia="zh-CN"/>
              </w:rPr>
            </w:pPr>
          </w:p>
        </w:tc>
      </w:tr>
      <w:tr w14:paraId="4632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9730" w:type="dxa"/>
            <w:gridSpan w:val="4"/>
            <w:vAlign w:val="center"/>
          </w:tcPr>
          <w:p w14:paraId="32BFDD73">
            <w:pPr>
              <w:widowControl/>
              <w:spacing w:line="500" w:lineRule="exact"/>
              <w:jc w:val="left"/>
              <w:rPr>
                <w:rFonts w:hint="eastAsia"/>
                <w:color w:val="auto"/>
                <w:sz w:val="24"/>
                <w:szCs w:val="22"/>
                <w:highlight w:val="none"/>
              </w:rPr>
            </w:pPr>
            <w:r>
              <w:rPr>
                <w:rFonts w:hint="eastAsia"/>
                <w:color w:val="auto"/>
                <w:sz w:val="24"/>
                <w:szCs w:val="22"/>
                <w:highlight w:val="none"/>
                <w:lang w:val="en-US" w:eastAsia="zh-CN"/>
              </w:rPr>
              <w:t>初审指标通过标准：供应商必须通过初审表中的全部评审指标。</w:t>
            </w:r>
          </w:p>
          <w:p w14:paraId="3A6CA51C">
            <w:pPr>
              <w:widowControl/>
              <w:spacing w:line="500" w:lineRule="exact"/>
              <w:jc w:val="left"/>
              <w:rPr>
                <w:rFonts w:hint="eastAsia"/>
                <w:color w:val="auto"/>
                <w:sz w:val="24"/>
                <w:szCs w:val="22"/>
                <w:highlight w:val="none"/>
                <w:lang w:val="en-US" w:eastAsia="zh-CN"/>
              </w:rPr>
            </w:pPr>
            <w:r>
              <w:rPr>
                <w:rFonts w:hint="eastAsia"/>
                <w:color w:val="auto"/>
                <w:sz w:val="24"/>
                <w:szCs w:val="22"/>
                <w:highlight w:val="none"/>
                <w:lang w:val="en-US" w:eastAsia="zh-CN"/>
              </w:rPr>
              <w:t>注：</w:t>
            </w:r>
            <w:r>
              <w:rPr>
                <w:rFonts w:hint="eastAsia" w:asciiTheme="majorEastAsia" w:hAnsiTheme="majorEastAsia" w:eastAsiaTheme="majorEastAsia" w:cstheme="majorEastAsia"/>
                <w:color w:val="auto"/>
                <w:sz w:val="24"/>
                <w:szCs w:val="22"/>
                <w:highlight w:val="none"/>
                <w:lang w:val="en-US" w:eastAsia="zh-CN"/>
              </w:rPr>
              <w:t>1、</w:t>
            </w:r>
            <w:r>
              <w:rPr>
                <w:rFonts w:hint="eastAsia"/>
                <w:color w:val="auto"/>
                <w:sz w:val="24"/>
                <w:szCs w:val="22"/>
                <w:highlight w:val="none"/>
                <w:lang w:val="en-US" w:eastAsia="zh-CN"/>
              </w:rPr>
              <w:t>竞争性谈判文件所有要求提供复印件或影印件或扫描件的，均须加盖响应人公章。</w:t>
            </w:r>
          </w:p>
          <w:p w14:paraId="5C3FE42B">
            <w:pPr>
              <w:widowControl/>
              <w:spacing w:line="500" w:lineRule="exact"/>
              <w:jc w:val="left"/>
              <w:rPr>
                <w:rFonts w:hint="eastAsia" w:ascii="宋体" w:hAnsi="宋体" w:eastAsia="宋体" w:cs="宋体"/>
                <w:color w:val="auto"/>
                <w:sz w:val="24"/>
                <w:szCs w:val="24"/>
                <w:highlight w:val="none"/>
                <w:lang w:val="en-US" w:eastAsia="zh-CN"/>
              </w:rPr>
            </w:pPr>
            <w:r>
              <w:rPr>
                <w:rFonts w:hint="eastAsia" w:asciiTheme="majorEastAsia" w:hAnsiTheme="majorEastAsia" w:eastAsiaTheme="majorEastAsia" w:cstheme="majorEastAsia"/>
                <w:color w:val="auto"/>
                <w:sz w:val="24"/>
                <w:szCs w:val="22"/>
                <w:highlight w:val="none"/>
                <w:lang w:val="en-US" w:eastAsia="zh-CN"/>
              </w:rPr>
              <w:t>2、</w:t>
            </w:r>
            <w:r>
              <w:rPr>
                <w:rFonts w:hint="eastAsia"/>
                <w:color w:val="auto"/>
                <w:sz w:val="24"/>
                <w:szCs w:val="22"/>
                <w:highlight w:val="none"/>
                <w:lang w:val="en-US" w:eastAsia="zh-CN"/>
              </w:rPr>
              <w:t>响应人应按照谈判文件要求提供证明材料。若响应人提供了谈判文件未要求的证明材料，谈判小组将不予评审。</w:t>
            </w:r>
          </w:p>
        </w:tc>
      </w:tr>
    </w:tbl>
    <w:p w14:paraId="1801C756">
      <w:pPr>
        <w:spacing w:line="360" w:lineRule="auto"/>
        <w:ind w:firstLine="240" w:firstLineChars="100"/>
        <w:rPr>
          <w:rFonts w:hint="eastAsia" w:ascii="宋体" w:hAnsi="宋体" w:eastAsia="宋体" w:cs="Times New Roman"/>
          <w:color w:val="auto"/>
          <w:sz w:val="24"/>
          <w:highlight w:val="none"/>
          <w:lang w:val="en-US" w:eastAsia="zh-CN"/>
        </w:rPr>
      </w:pPr>
      <w:bookmarkStart w:id="53" w:name="_Toc27586"/>
      <w:bookmarkStart w:id="54" w:name="_Toc431"/>
      <w:bookmarkStart w:id="55" w:name="_Toc3977"/>
      <w:bookmarkStart w:id="56" w:name="_Toc28300"/>
      <w:bookmarkStart w:id="57" w:name="_Toc7241"/>
      <w:r>
        <w:rPr>
          <w:rFonts w:hint="eastAsia" w:ascii="宋体" w:hAnsi="宋体" w:eastAsia="宋体" w:cs="Times New Roman"/>
          <w:color w:val="auto"/>
          <w:sz w:val="24"/>
          <w:highlight w:val="none"/>
          <w:lang w:val="en-US" w:eastAsia="zh-CN"/>
        </w:rPr>
        <w:t>2.2异常低价响应审查</w:t>
      </w:r>
    </w:p>
    <w:tbl>
      <w:tblPr>
        <w:tblStyle w:val="41"/>
        <w:tblW w:w="56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60"/>
        <w:gridCol w:w="5380"/>
        <w:gridCol w:w="2260"/>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659" w:type="dxa"/>
            <w:gridSpan w:val="4"/>
            <w:tcBorders>
              <w:bottom w:val="single" w:color="auto" w:sz="4" w:space="0"/>
            </w:tcBorders>
            <w:vAlign w:val="center"/>
          </w:tcPr>
          <w:p w14:paraId="0A55AF2A">
            <w:pPr>
              <w:spacing w:line="360" w:lineRule="auto"/>
              <w:jc w:val="center"/>
              <w:rPr>
                <w:rFonts w:ascii="宋体" w:hAnsi="宋体" w:eastAsia="宋体"/>
                <w:sz w:val="24"/>
                <w:highlight w:val="none"/>
              </w:rPr>
            </w:pPr>
            <w:r>
              <w:rPr>
                <w:rFonts w:hint="eastAsia" w:ascii="宋体" w:hAnsi="宋体" w:eastAsia="宋体" w:cs="宋体"/>
                <w:b/>
                <w:bCs/>
                <w:color w:val="auto"/>
                <w:sz w:val="24"/>
                <w:szCs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tcBorders>
              <w:bottom w:val="single" w:color="auto" w:sz="4" w:space="0"/>
            </w:tcBorders>
            <w:vAlign w:val="center"/>
          </w:tcPr>
          <w:p w14:paraId="24C66339">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260" w:type="dxa"/>
            <w:tcBorders>
              <w:bottom w:val="single" w:color="auto" w:sz="4" w:space="0"/>
            </w:tcBorders>
            <w:vAlign w:val="center"/>
          </w:tcPr>
          <w:p w14:paraId="242D753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评审指标</w:t>
            </w:r>
          </w:p>
        </w:tc>
        <w:tc>
          <w:tcPr>
            <w:tcW w:w="5380" w:type="dxa"/>
            <w:tcBorders>
              <w:bottom w:val="single" w:color="auto" w:sz="4" w:space="0"/>
            </w:tcBorders>
            <w:vAlign w:val="center"/>
          </w:tcPr>
          <w:p w14:paraId="63EC831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59" w:type="dxa"/>
            <w:tcBorders>
              <w:bottom w:val="single" w:color="auto" w:sz="4" w:space="0"/>
            </w:tcBorders>
            <w:vAlign w:val="center"/>
          </w:tcPr>
          <w:p w14:paraId="5326260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260" w:type="dxa"/>
            <w:tcBorders>
              <w:bottom w:val="single" w:color="auto" w:sz="4" w:space="0"/>
            </w:tcBorders>
            <w:vAlign w:val="center"/>
          </w:tcPr>
          <w:p w14:paraId="4828CE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异常低价响应审查</w:t>
            </w:r>
          </w:p>
        </w:tc>
        <w:tc>
          <w:tcPr>
            <w:tcW w:w="5380" w:type="dxa"/>
            <w:tcBorders>
              <w:bottom w:val="single" w:color="auto" w:sz="4" w:space="0"/>
            </w:tcBorders>
            <w:vAlign w:val="center"/>
          </w:tcPr>
          <w:p w14:paraId="14855D12">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（1）报价＜全部通过初审供应商响应报价平均值×50%；</w:t>
            </w:r>
          </w:p>
          <w:p w14:paraId="12D6E1A2">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（2）报价＜通过初审的次低报价供应商响应报价×50%；</w:t>
            </w:r>
          </w:p>
          <w:p w14:paraId="595C90C5">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（3）报价＜采购项目最高限价（如采购项目未设定最高限价的，以采购项目预算金额作为最高限价）×45%；</w:t>
            </w:r>
          </w:p>
          <w:p w14:paraId="6545F9B4">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（4）谈判小组基于专业判断，认为供应商报价过低，有可能影响产品质量或者不能诚信履约的其他情形。</w:t>
            </w:r>
          </w:p>
          <w:p w14:paraId="14FCFE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提醒：</w:t>
            </w:r>
          </w:p>
          <w:p w14:paraId="0BE4D07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（1）上述第（1）项数值计算：涉及总价、单价的精确到“分”并四舍五入，涉及费率的精确到小数点后两位，第三位四舍五入（例：如平均值为123.456元，即为123.46元；如平均值为80.126%，即为80.13%）。</w:t>
            </w:r>
          </w:p>
          <w:p w14:paraId="407B687B">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（2）上述报价均为供应商最后报价。</w:t>
            </w:r>
          </w:p>
        </w:tc>
        <w:tc>
          <w:tcPr>
            <w:tcW w:w="2260" w:type="dxa"/>
            <w:vAlign w:val="center"/>
          </w:tcPr>
          <w:p w14:paraId="4F4E35CC">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D504B49">
      <w:pPr>
        <w:spacing w:before="108" w:beforeLines="34" w:beforeAutospacing="0" w:line="360" w:lineRule="auto"/>
        <w:rPr>
          <w:rFonts w:hint="eastAsia" w:ascii="宋体" w:hAnsi="宋体" w:eastAsia="宋体"/>
          <w:sz w:val="24"/>
          <w:highlight w:val="none"/>
          <w:lang w:val="en-US" w:eastAsia="zh-CN"/>
        </w:rPr>
      </w:pPr>
      <w:r>
        <w:rPr>
          <w:rFonts w:hint="eastAsia" w:ascii="宋体" w:hAnsi="宋体" w:eastAsia="宋体" w:cs="Times New Roman"/>
          <w:sz w:val="24"/>
          <w:highlight w:val="none"/>
          <w:lang w:val="en-US" w:eastAsia="zh-CN"/>
        </w:rPr>
        <w:t>注：</w:t>
      </w: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53DDD6B">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295519EC">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eastAsia="宋体"/>
          <w:sz w:val="24"/>
          <w:highlight w:val="none"/>
          <w:lang w:val="en-US" w:eastAsia="zh-CN"/>
        </w:rPr>
        <w:t>谈判</w:t>
      </w:r>
      <w:r>
        <w:rPr>
          <w:rFonts w:hint="eastAsia" w:ascii="宋体" w:hAnsi="宋体" w:eastAsia="宋体"/>
          <w:sz w:val="24"/>
          <w:highlight w:val="none"/>
        </w:rPr>
        <w:t xml:space="preserve">小组应当将其作为无效响应处理。 </w:t>
      </w:r>
    </w:p>
    <w:p w14:paraId="297EF2A5">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ascii="宋体" w:hAnsi="宋体" w:eastAsia="宋体" w:cs="Arial"/>
          <w:kern w:val="2"/>
          <w:sz w:val="24"/>
          <w:highlight w:val="none"/>
          <w:lang w:val="en-US" w:eastAsia="zh-CN" w:bidi="ar-SA"/>
        </w:rPr>
        <w:t>谈判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谈判小组有关互联网浏览、查询历史一并归档</w:t>
      </w:r>
      <w:r>
        <w:rPr>
          <w:rFonts w:hint="eastAsia" w:asciiTheme="minorEastAsia" w:hAnsiTheme="minorEastAsia" w:eastAsiaTheme="minorEastAsia"/>
          <w:color w:val="auto"/>
          <w:sz w:val="24"/>
          <w:highlight w:val="none"/>
        </w:rPr>
        <w:t>。</w:t>
      </w:r>
      <w:bookmarkEnd w:id="53"/>
      <w:bookmarkEnd w:id="54"/>
      <w:bookmarkEnd w:id="55"/>
      <w:bookmarkEnd w:id="56"/>
      <w:bookmarkEnd w:id="57"/>
    </w:p>
    <w:p w14:paraId="188F675A">
      <w:pPr>
        <w:rPr>
          <w:rFonts w:hint="eastAsia"/>
          <w:lang w:val="en-US" w:eastAsia="zh-CN"/>
        </w:rPr>
      </w:pPr>
    </w:p>
    <w:p w14:paraId="467D7D72">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第五章  政府采购合同主要条款</w:t>
      </w:r>
    </w:p>
    <w:p w14:paraId="1C818252">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bookmarkStart w:id="58" w:name="_Toc1812"/>
      <w:bookmarkStart w:id="59" w:name="_Toc439316880"/>
      <w:bookmarkStart w:id="60" w:name="_Toc8981"/>
      <w:bookmarkStart w:id="61" w:name="_Toc54941341"/>
    </w:p>
    <w:p w14:paraId="1D8E6547">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B631675">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1D7745B">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2FCCE9B0">
      <w:pPr>
        <w:pStyle w:val="16"/>
        <w:rPr>
          <w:rFonts w:hint="eastAsia" w:ascii="宋体" w:hAnsi="宋体" w:eastAsia="宋体" w:cs="宋体"/>
          <w:b/>
          <w:bCs/>
          <w:spacing w:val="-20"/>
          <w:kern w:val="44"/>
          <w:sz w:val="24"/>
          <w:szCs w:val="24"/>
          <w:highlight w:val="none"/>
        </w:rPr>
      </w:pPr>
    </w:p>
    <w:p w14:paraId="2B08A30A">
      <w:pPr>
        <w:pStyle w:val="16"/>
        <w:rPr>
          <w:rFonts w:hint="eastAsia" w:ascii="宋体" w:hAnsi="宋体" w:eastAsia="宋体" w:cs="宋体"/>
          <w:b/>
          <w:bCs/>
          <w:spacing w:val="-20"/>
          <w:kern w:val="44"/>
          <w:sz w:val="24"/>
          <w:szCs w:val="24"/>
          <w:highlight w:val="none"/>
        </w:rPr>
      </w:pPr>
    </w:p>
    <w:p w14:paraId="2A5ABA68">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33044915">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p>
    <w:p w14:paraId="67058B72">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4922425E">
      <w:pPr>
        <w:pageBreakBefore w:val="0"/>
        <w:kinsoku/>
        <w:wordWrap/>
        <w:overflowPunct/>
        <w:topLinePunct w:val="0"/>
        <w:bidi w:val="0"/>
        <w:spacing w:line="360" w:lineRule="auto"/>
        <w:ind w:left="420" w:leftChars="200" w:firstLine="1680" w:firstLineChars="700"/>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359F5713">
      <w:pPr>
        <w:pageBreakBefore w:val="0"/>
        <w:kinsoku/>
        <w:wordWrap/>
        <w:overflowPunct/>
        <w:topLinePunct w:val="0"/>
        <w:bidi w:val="0"/>
        <w:spacing w:line="360" w:lineRule="auto"/>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74FBDF7">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49FE18B3">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0DA0133">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5DDDF5B1">
      <w:pPr>
        <w:pageBreakBefore w:val="0"/>
        <w:kinsoku/>
        <w:wordWrap/>
        <w:overflowPunct/>
        <w:topLinePunct w:val="0"/>
        <w:bidi w:val="0"/>
        <w:spacing w:line="360" w:lineRule="auto"/>
        <w:ind w:left="420" w:leftChars="2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32534CF7">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成交供应商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145BDCFA">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6A0B34CB">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p>
    <w:p w14:paraId="08B3F7FC">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sectPr>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sz w:val="24"/>
          <w:szCs w:val="24"/>
          <w:highlight w:val="none"/>
        </w:rPr>
        <w:t>签订时间：</w:t>
      </w:r>
      <w:r>
        <w:rPr>
          <w:rFonts w:hint="eastAsia" w:ascii="宋体" w:hAnsi="宋体" w:eastAsia="宋体" w:cs="宋体"/>
          <w:sz w:val="24"/>
          <w:szCs w:val="24"/>
          <w:highlight w:val="none"/>
          <w:u w:val="single"/>
        </w:rPr>
        <w:t xml:space="preserve">                             </w:t>
      </w:r>
    </w:p>
    <w:p w14:paraId="5943E57E">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pPr>
      <w:bookmarkStart w:id="62" w:name="_Toc22209"/>
      <w:r>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t>合同协议书</w:t>
      </w:r>
      <w:bookmarkEnd w:id="62"/>
    </w:p>
    <w:p w14:paraId="1F09430A">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p>
    <w:p w14:paraId="616D2FBA">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甲方（全称）：</w:t>
      </w:r>
      <w:r>
        <w:rPr>
          <w:rFonts w:hint="eastAsia" w:ascii="宋体" w:hAnsi="宋体" w:eastAsia="宋体" w:cs="宋体"/>
          <w:sz w:val="24"/>
          <w:szCs w:val="24"/>
          <w:highlight w:val="none"/>
          <w:u w:val="single"/>
        </w:rPr>
        <w:t xml:space="preserve">                        </w:t>
      </w:r>
    </w:p>
    <w:p w14:paraId="54A675C4">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乙方（全称）：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p>
    <w:p w14:paraId="3C0B2C16">
      <w:pPr>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p>
    <w:p w14:paraId="1A5F71D1">
      <w:pPr>
        <w:pStyle w:val="17"/>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依据《中华人民共和国民法典》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《中华人民共和国政府采购法》等有关的法律法规，以及</w:t>
      </w:r>
      <w:r>
        <w:rPr>
          <w:rFonts w:hint="eastAsia" w:ascii="宋体" w:hAnsi="宋体" w:eastAsia="宋体" w:cs="宋体"/>
          <w:i w:val="0"/>
          <w:iCs w:val="0"/>
          <w:sz w:val="24"/>
          <w:szCs w:val="24"/>
          <w:highlight w:val="none"/>
          <w:u w:val="none"/>
          <w:lang w:eastAsia="zh-CN"/>
        </w:rPr>
        <w:t>本采购项目</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招标</w:t>
      </w:r>
      <w:r>
        <w:rPr>
          <w:rFonts w:hint="eastAsia" w:ascii="宋体" w:hAnsi="宋体" w:eastAsia="宋体" w:cs="宋体"/>
          <w:sz w:val="24"/>
          <w:szCs w:val="24"/>
          <w:highlight w:val="none"/>
          <w:lang w:val="en-US" w:eastAsia="zh-CN"/>
        </w:rPr>
        <w:t>/谈判</w:t>
      </w:r>
      <w:r>
        <w:rPr>
          <w:rFonts w:hint="eastAsia" w:ascii="宋体" w:hAnsi="宋体" w:eastAsia="宋体" w:cs="宋体"/>
          <w:sz w:val="24"/>
          <w:szCs w:val="24"/>
          <w:highlight w:val="none"/>
          <w:lang w:eastAsia="zh-CN"/>
        </w:rPr>
        <w:t>文件等</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乙方的《投标（响应）文件》及《中标（成交）通知书》，甲乙双方同意签订本合同。具体情况及要求如下：     </w:t>
      </w:r>
    </w:p>
    <w:p w14:paraId="1E98B72D">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1.</w:t>
      </w:r>
      <w:r>
        <w:rPr>
          <w:rFonts w:hint="eastAsia" w:ascii="宋体" w:hAnsi="宋体" w:eastAsia="宋体" w:cs="宋体"/>
          <w:b/>
          <w:sz w:val="24"/>
          <w:szCs w:val="24"/>
          <w:highlight w:val="none"/>
        </w:rPr>
        <w:t>项目信息</w:t>
      </w:r>
    </w:p>
    <w:p w14:paraId="6822A358">
      <w:pPr>
        <w:pStyle w:val="17"/>
        <w:pageBreakBefore w:val="0"/>
        <w:numPr>
          <w:ilvl w:val="0"/>
          <w:numId w:val="0"/>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lang w:val="en-US" w:eastAsia="zh-CN" w:bidi="he-IL"/>
        </w:rPr>
        <w:t>（1）</w:t>
      </w:r>
      <w:r>
        <w:rPr>
          <w:rFonts w:hint="eastAsia" w:ascii="宋体" w:hAnsi="宋体" w:eastAsia="宋体" w:cs="宋体"/>
          <w:sz w:val="24"/>
          <w:szCs w:val="24"/>
          <w:highlight w:val="none"/>
        </w:rPr>
        <w:t>采购项目名称：</w:t>
      </w:r>
      <w:r>
        <w:rPr>
          <w:rFonts w:hint="eastAsia" w:ascii="宋体" w:hAnsi="宋体" w:eastAsia="宋体" w:cs="宋体"/>
          <w:sz w:val="24"/>
          <w:szCs w:val="24"/>
          <w:highlight w:val="none"/>
          <w:u w:val="single"/>
        </w:rPr>
        <w:t xml:space="preserve">                                          </w:t>
      </w:r>
    </w:p>
    <w:p w14:paraId="58BECF89">
      <w:pPr>
        <w:pStyle w:val="17"/>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 xml:space="preserve">         采购项目编号：</w:t>
      </w:r>
      <w:r>
        <w:rPr>
          <w:rFonts w:hint="eastAsia" w:ascii="宋体" w:hAnsi="宋体" w:eastAsia="宋体" w:cs="宋体"/>
          <w:sz w:val="24"/>
          <w:szCs w:val="24"/>
          <w:highlight w:val="none"/>
          <w:u w:val="single"/>
        </w:rPr>
        <w:t xml:space="preserve">                                          </w:t>
      </w:r>
    </w:p>
    <w:p w14:paraId="683D4ED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）项目内容：</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p>
    <w:p w14:paraId="28B8E56C">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2.合同金额</w:t>
      </w:r>
    </w:p>
    <w:p w14:paraId="0E00B1A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（1）合同金额小写：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3EEB48CA">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15B66079">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（注：固定单价合同应填写单价和最高限价）</w:t>
      </w:r>
    </w:p>
    <w:p w14:paraId="0C74EE47">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合同定价方式</w:t>
      </w:r>
      <w:r>
        <w:rPr>
          <w:rFonts w:hint="eastAsia" w:ascii="宋体" w:hAnsi="宋体" w:eastAsia="宋体" w:cs="宋体"/>
          <w:sz w:val="24"/>
          <w:szCs w:val="24"/>
          <w:highlight w:val="none"/>
          <w:lang w:eastAsia="zh-CN"/>
        </w:rPr>
        <w:t>（采用组合定价方式的，可以勾选多项）</w:t>
      </w:r>
      <w:r>
        <w:rPr>
          <w:rFonts w:hint="eastAsia" w:ascii="宋体" w:hAnsi="宋体" w:eastAsia="宋体" w:cs="宋体"/>
          <w:sz w:val="24"/>
          <w:szCs w:val="24"/>
          <w:highlight w:val="none"/>
        </w:rPr>
        <w:t>：</w:t>
      </w:r>
    </w:p>
    <w:p w14:paraId="5457C78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固定总价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固定单价</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固定费率</w:t>
      </w: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成本补偿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绩效激励</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r>
        <w:rPr>
          <w:rFonts w:hint="eastAsia" w:ascii="宋体" w:hAnsi="宋体" w:eastAsia="宋体" w:cs="宋体"/>
          <w:sz w:val="24"/>
          <w:szCs w:val="24"/>
          <w:highlight w:val="none"/>
          <w:u w:val="single"/>
        </w:rPr>
        <w:t xml:space="preserve">       </w:t>
      </w:r>
    </w:p>
    <w:p w14:paraId="21B03338">
      <w:pPr>
        <w:pStyle w:val="147"/>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）付款方式（按项目实际勾选填写）：</w:t>
      </w:r>
    </w:p>
    <w:p w14:paraId="3626D7F7">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全额付款：</w:t>
      </w:r>
      <w:r>
        <w:rPr>
          <w:rFonts w:hint="eastAsia" w:ascii="宋体" w:hAnsi="宋体" w:eastAsia="宋体" w:cs="宋体"/>
          <w:sz w:val="24"/>
          <w:szCs w:val="24"/>
          <w:highlight w:val="none"/>
          <w:u w:val="single"/>
        </w:rPr>
        <w:t xml:space="preserve">  （应</w:t>
      </w:r>
      <w:r>
        <w:rPr>
          <w:rFonts w:hint="eastAsia" w:ascii="宋体" w:hAnsi="宋体" w:eastAsia="宋体" w:cs="宋体"/>
          <w:sz w:val="24"/>
          <w:szCs w:val="24"/>
          <w:highlight w:val="none"/>
          <w:u w:val="single"/>
          <w:lang w:eastAsia="zh-CN"/>
        </w:rPr>
        <w:t>明确</w:t>
      </w:r>
      <w:r>
        <w:rPr>
          <w:rFonts w:hint="eastAsia" w:ascii="宋体" w:hAnsi="宋体" w:eastAsia="宋体" w:cs="宋体"/>
          <w:sz w:val="24"/>
          <w:szCs w:val="24"/>
          <w:highlight w:val="none"/>
          <w:u w:val="single"/>
        </w:rPr>
        <w:t>一次性支付合同款项</w:t>
      </w:r>
      <w:r>
        <w:rPr>
          <w:rFonts w:hint="eastAsia" w:ascii="宋体" w:hAnsi="宋体" w:eastAsia="宋体" w:cs="宋体"/>
          <w:sz w:val="24"/>
          <w:szCs w:val="24"/>
          <w:highlight w:val="none"/>
          <w:u w:val="single"/>
          <w:lang w:eastAsia="zh-CN"/>
        </w:rPr>
        <w:t>的条件</w:t>
      </w:r>
      <w:r>
        <w:rPr>
          <w:rFonts w:hint="eastAsia" w:ascii="宋体" w:hAnsi="宋体" w:eastAsia="宋体" w:cs="宋体"/>
          <w:sz w:val="24"/>
          <w:szCs w:val="24"/>
          <w:highlight w:val="none"/>
          <w:u w:val="single"/>
        </w:rPr>
        <w:t xml:space="preserve">）                    </w:t>
      </w:r>
    </w:p>
    <w:p w14:paraId="6D2635DF">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分期付款：</w:t>
      </w:r>
      <w:r>
        <w:rPr>
          <w:rFonts w:hint="eastAsia" w:ascii="宋体" w:hAnsi="宋体" w:eastAsia="宋体" w:cs="宋体"/>
          <w:sz w:val="24"/>
          <w:szCs w:val="24"/>
          <w:highlight w:val="none"/>
          <w:u w:val="single"/>
        </w:rPr>
        <w:t xml:space="preserve">  （应明确分期支付合同款项的各期比例和支付条件</w:t>
      </w:r>
      <w:r>
        <w:rPr>
          <w:rFonts w:hint="eastAsia" w:ascii="宋体" w:hAnsi="宋体" w:eastAsia="宋体" w:cs="宋体"/>
          <w:sz w:val="24"/>
          <w:szCs w:val="24"/>
          <w:highlight w:val="none"/>
          <w:u w:val="single"/>
          <w:lang w:eastAsia="zh-CN"/>
        </w:rPr>
        <w:t>，各期支付条件应与分期履约验收情况挂钩</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lang w:eastAsia="zh-CN"/>
        </w:rPr>
        <w:t>其中涉及预付款的</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（应明确预付款的支付比例和支付条件） </w:t>
      </w:r>
    </w:p>
    <w:p w14:paraId="4A719BEE">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3.合同履行</w:t>
      </w:r>
    </w:p>
    <w:p w14:paraId="28BF1DF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（1）起始日期：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日，完成日期：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0CCC266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履约</w:t>
      </w:r>
      <w:r>
        <w:rPr>
          <w:rFonts w:hint="eastAsia" w:ascii="宋体" w:hAnsi="宋体" w:eastAsia="宋体" w:cs="宋体"/>
          <w:sz w:val="24"/>
          <w:szCs w:val="24"/>
          <w:highlight w:val="none"/>
        </w:rPr>
        <w:t>地点</w:t>
      </w:r>
      <w:r>
        <w:rPr>
          <w:rFonts w:hint="eastAsia" w:ascii="宋体" w:hAnsi="宋体" w:eastAsia="宋体" w:cs="宋体"/>
          <w:b w:val="0"/>
          <w:bCs/>
          <w:sz w:val="24"/>
          <w:szCs w:val="24"/>
          <w:highlight w:val="none"/>
        </w:rPr>
        <w:t>：</w:t>
      </w:r>
      <w:r>
        <w:rPr>
          <w:rFonts w:hint="eastAsia" w:ascii="宋体" w:hAnsi="宋体" w:eastAsia="宋体" w:cs="宋体"/>
          <w:sz w:val="24"/>
          <w:szCs w:val="24"/>
          <w:highlight w:val="none"/>
          <w:u w:val="single"/>
        </w:rPr>
        <w:t xml:space="preserve">                             </w:t>
      </w:r>
    </w:p>
    <w:p w14:paraId="7BF283D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rPr>
        <w:t>（3）履约担保：</w:t>
      </w:r>
      <w:r>
        <w:rPr>
          <w:rFonts w:hint="eastAsia" w:ascii="宋体" w:hAnsi="宋体" w:eastAsia="宋体" w:cs="宋体"/>
          <w:sz w:val="24"/>
          <w:szCs w:val="24"/>
          <w:highlight w:val="none"/>
          <w:lang w:val="en-US" w:eastAsia="zh-CN"/>
        </w:rPr>
        <w:t>是否收取履约保证金：</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FE"/>
      </w:r>
      <w:r>
        <w:rPr>
          <w:rFonts w:hint="eastAsia" w:ascii="宋体" w:hAnsi="宋体" w:eastAsia="宋体" w:cs="宋体"/>
          <w:sz w:val="24"/>
          <w:szCs w:val="24"/>
          <w:highlight w:val="none"/>
          <w:lang w:eastAsia="zh-CN"/>
        </w:rPr>
        <w:t>否</w:t>
      </w:r>
    </w:p>
    <w:p w14:paraId="689C04D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4.合同验收</w:t>
      </w:r>
    </w:p>
    <w:p w14:paraId="3480CE54">
      <w:pPr>
        <w:pageBreakBefore w:val="0"/>
        <w:numPr>
          <w:ilvl w:val="0"/>
          <w:numId w:val="2"/>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验收组织方式：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自行组织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委托第三方组织</w:t>
      </w:r>
    </w:p>
    <w:p w14:paraId="093E188E">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验收主体：</w:t>
      </w:r>
      <w:r>
        <w:rPr>
          <w:rFonts w:hint="eastAsia" w:ascii="宋体" w:hAnsi="宋体" w:eastAsia="宋体" w:cs="宋体"/>
          <w:bCs/>
          <w:sz w:val="24"/>
          <w:szCs w:val="24"/>
          <w:highlight w:val="none"/>
          <w:u w:val="single"/>
        </w:rPr>
        <w:t xml:space="preserve">                  </w:t>
      </w:r>
    </w:p>
    <w:p w14:paraId="5536F458">
      <w:pPr>
        <w:pageBreakBefore w:val="0"/>
        <w:kinsoku/>
        <w:wordWrap/>
        <w:overflowPunct/>
        <w:topLinePunct w:val="0"/>
        <w:bidi w:val="0"/>
        <w:adjustRightInd w:val="0"/>
        <w:snapToGrid w:val="0"/>
        <w:spacing w:before="0" w:beforeLines="0" w:line="360" w:lineRule="auto"/>
        <w:ind w:firstLine="480" w:firstLineChars="200"/>
        <w:textAlignment w:val="auto"/>
        <w:rPr>
          <w:rFonts w:hint="default" w:ascii="宋体" w:hAnsi="宋体" w:eastAsia="宋体" w:cs="宋体"/>
          <w:bCs/>
          <w:sz w:val="24"/>
          <w:szCs w:val="24"/>
          <w:highlight w:val="none"/>
          <w:u w:val="single"/>
          <w:lang w:val="en-US"/>
        </w:rPr>
      </w:pPr>
      <w:r>
        <w:rPr>
          <w:rFonts w:hint="eastAsia" w:ascii="宋体" w:hAnsi="宋体" w:eastAsia="宋体" w:cs="宋体"/>
          <w:bCs/>
          <w:sz w:val="24"/>
          <w:szCs w:val="24"/>
          <w:highlight w:val="none"/>
        </w:rPr>
        <w:t>（2）履约验收时间：</w:t>
      </w:r>
      <w:r>
        <w:rPr>
          <w:rFonts w:hint="eastAsia" w:ascii="宋体" w:hAnsi="宋体" w:eastAsia="宋体" w:cs="宋体"/>
          <w:bCs/>
          <w:sz w:val="24"/>
          <w:szCs w:val="24"/>
          <w:highlight w:val="none"/>
          <w:u w:val="single"/>
          <w:lang w:val="en-US" w:eastAsia="zh-CN"/>
        </w:rPr>
        <w:t xml:space="preserve">                                         </w:t>
      </w:r>
    </w:p>
    <w:p w14:paraId="4F0B6C6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rPr>
        <w:t>（3）履约验收方式：</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p>
    <w:p w14:paraId="24B2333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（4）履约验收程序：</w:t>
      </w:r>
      <w:r>
        <w:rPr>
          <w:rFonts w:hint="eastAsia" w:ascii="宋体" w:hAnsi="宋体" w:eastAsia="宋体" w:cs="宋体"/>
          <w:bCs/>
          <w:sz w:val="24"/>
          <w:szCs w:val="24"/>
          <w:highlight w:val="none"/>
          <w:u w:val="single"/>
        </w:rPr>
        <w:t xml:space="preserve">                                         </w:t>
      </w:r>
    </w:p>
    <w:p w14:paraId="49FDA31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（5）履约验收的内容：</w:t>
      </w:r>
      <w:r>
        <w:rPr>
          <w:rFonts w:hint="eastAsia" w:ascii="宋体" w:hAnsi="宋体" w:eastAsia="宋体" w:cs="宋体"/>
          <w:bCs/>
          <w:sz w:val="24"/>
          <w:szCs w:val="24"/>
          <w:highlight w:val="none"/>
          <w:u w:val="single"/>
        </w:rPr>
        <w:t xml:space="preserve">                                       </w:t>
      </w:r>
    </w:p>
    <w:p w14:paraId="484B46E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（6）履约验收标准：</w:t>
      </w:r>
      <w:r>
        <w:rPr>
          <w:rFonts w:hint="eastAsia" w:ascii="宋体" w:hAnsi="宋体" w:eastAsia="宋体" w:cs="宋体"/>
          <w:bCs/>
          <w:sz w:val="24"/>
          <w:szCs w:val="24"/>
          <w:highlight w:val="none"/>
          <w:u w:val="single"/>
        </w:rPr>
        <w:t xml:space="preserve">                                         </w:t>
      </w:r>
    </w:p>
    <w:p w14:paraId="2E55878D">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none"/>
          <w:lang w:val="en-US" w:eastAsia="zh-CN"/>
        </w:rPr>
        <w:t>7</w:t>
      </w:r>
      <w:r>
        <w:rPr>
          <w:rFonts w:hint="eastAsia" w:ascii="宋体" w:hAnsi="宋体" w:eastAsia="宋体" w:cs="宋体"/>
          <w:bCs/>
          <w:sz w:val="24"/>
          <w:szCs w:val="24"/>
          <w:highlight w:val="none"/>
          <w:u w:val="none"/>
          <w:lang w:eastAsia="zh-CN"/>
        </w:rPr>
        <w:t>）是否以采购活动中供应商提供的样品作为参考：</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1E1ADB02">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5.</w:t>
      </w:r>
      <w:r>
        <w:rPr>
          <w:rFonts w:hint="eastAsia" w:ascii="宋体" w:hAnsi="宋体" w:eastAsia="宋体" w:cs="宋体"/>
          <w:b/>
          <w:sz w:val="24"/>
          <w:szCs w:val="24"/>
          <w:highlight w:val="none"/>
        </w:rPr>
        <w:t>组成合同的文件</w:t>
      </w:r>
    </w:p>
    <w:p w14:paraId="22765AF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本协议书与下列文件一起构成合同文件，如下述文件之间有任何抵触、矛盾或歧义，应按以下顺序解释：</w:t>
      </w:r>
    </w:p>
    <w:p w14:paraId="518016E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2BB99E9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）政府采购合同专用条款</w:t>
      </w:r>
    </w:p>
    <w:p w14:paraId="552DD82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）政府采购合同通用条款</w:t>
      </w:r>
    </w:p>
    <w:p w14:paraId="1771AB4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0DD54A3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）投标（响应）文件</w:t>
      </w:r>
    </w:p>
    <w:p w14:paraId="09451CC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30AD4F8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3A49B6E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）国家法律、行政法规和规章制度规定或合同约定的作为合同组成部分的其他文件</w:t>
      </w:r>
    </w:p>
    <w:p w14:paraId="18256E5E">
      <w:pPr>
        <w:snapToGrid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6.违约责任</w:t>
      </w:r>
    </w:p>
    <w:p w14:paraId="6F07CD1C">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6.1除不可抗力外，如果乙方没有按照本合同约定的期限、地点和方式履行，那么甲方可要求乙方支付违约金，违约金按每迟延履行一日的应提供而未提供服务价格的</w:t>
      </w:r>
      <w:r>
        <w:rPr>
          <w:rFonts w:hint="eastAsia" w:ascii="宋体" w:hAnsi="宋体" w:cs="宋体"/>
          <w:sz w:val="24"/>
          <w:szCs w:val="24"/>
          <w:u w:val="single"/>
        </w:rPr>
        <w:t xml:space="preserve"> 0.</w:t>
      </w:r>
      <w:r>
        <w:rPr>
          <w:rFonts w:hint="eastAsia" w:ascii="宋体" w:hAnsi="宋体" w:cs="宋体"/>
          <w:sz w:val="24"/>
          <w:szCs w:val="24"/>
          <w:u w:val="single"/>
          <w:lang w:val="en-US" w:eastAsia="zh-CN"/>
        </w:rPr>
        <w:t>03</w:t>
      </w:r>
      <w:r>
        <w:rPr>
          <w:rFonts w:hint="eastAsia" w:ascii="宋体" w:hAnsi="宋体" w:cs="宋体"/>
          <w:sz w:val="24"/>
          <w:szCs w:val="24"/>
          <w:u w:val="single"/>
        </w:rPr>
        <w:t xml:space="preserve"> %</w:t>
      </w:r>
      <w:r>
        <w:rPr>
          <w:rFonts w:hint="eastAsia" w:ascii="宋体" w:hAnsi="宋体" w:cs="宋体"/>
          <w:sz w:val="24"/>
          <w:szCs w:val="24"/>
        </w:rPr>
        <w:t>计算，最高限额为本合同总价的</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30</w:t>
      </w:r>
      <w:r>
        <w:rPr>
          <w:rFonts w:hint="eastAsia" w:ascii="宋体" w:hAnsi="宋体" w:cs="宋体"/>
          <w:sz w:val="24"/>
          <w:szCs w:val="24"/>
          <w:u w:val="single"/>
        </w:rPr>
        <w:t xml:space="preserve"> %</w:t>
      </w:r>
      <w:r>
        <w:rPr>
          <w:rFonts w:hint="eastAsia" w:ascii="宋体" w:hAnsi="宋体" w:cs="宋体"/>
          <w:sz w:val="24"/>
          <w:szCs w:val="24"/>
        </w:rPr>
        <w:t>；迟延履行的违约金计算数额达到前述最高限额之日起，甲方有权在要求乙方支付违约金的同时，书面通知乙方解除本合同；</w:t>
      </w:r>
    </w:p>
    <w:p w14:paraId="19549785">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6.2除不可抗力外，如果甲方没有按照本合同约定的付款方式付款，那么乙方可要求甲方支付违约金，违约金按每迟延付款一日的应付而未付款的</w:t>
      </w:r>
      <w:r>
        <w:rPr>
          <w:rFonts w:hint="eastAsia" w:ascii="宋体" w:hAnsi="宋体" w:cs="宋体"/>
          <w:sz w:val="24"/>
          <w:szCs w:val="24"/>
          <w:u w:val="single"/>
        </w:rPr>
        <w:t xml:space="preserve"> 0.</w:t>
      </w:r>
      <w:r>
        <w:rPr>
          <w:rFonts w:hint="eastAsia" w:ascii="宋体" w:hAnsi="宋体" w:cs="宋体"/>
          <w:sz w:val="24"/>
          <w:szCs w:val="24"/>
          <w:u w:val="single"/>
          <w:lang w:val="en-US" w:eastAsia="zh-CN"/>
        </w:rPr>
        <w:t>03</w:t>
      </w:r>
      <w:r>
        <w:rPr>
          <w:rFonts w:hint="eastAsia" w:ascii="宋体" w:hAnsi="宋体" w:cs="宋体"/>
          <w:sz w:val="24"/>
          <w:szCs w:val="24"/>
          <w:u w:val="single"/>
        </w:rPr>
        <w:t xml:space="preserve"> %</w:t>
      </w:r>
      <w:r>
        <w:rPr>
          <w:rFonts w:hint="eastAsia" w:ascii="宋体" w:hAnsi="宋体" w:cs="宋体"/>
          <w:sz w:val="24"/>
          <w:szCs w:val="24"/>
        </w:rPr>
        <w:t>计算，最高限额为本合同总价的</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30</w:t>
      </w:r>
      <w:r>
        <w:rPr>
          <w:rFonts w:hint="eastAsia" w:ascii="宋体" w:hAnsi="宋体" w:cs="宋体"/>
          <w:sz w:val="24"/>
          <w:szCs w:val="24"/>
          <w:u w:val="single"/>
        </w:rPr>
        <w:t xml:space="preserve"> %</w:t>
      </w:r>
      <w:r>
        <w:rPr>
          <w:rFonts w:hint="eastAsia" w:ascii="宋体" w:hAnsi="宋体" w:cs="宋体"/>
          <w:sz w:val="24"/>
          <w:szCs w:val="24"/>
        </w:rPr>
        <w:t>；迟延付款的违约金计算数额达到前述最高限额之日起，乙方有权在要求甲方支付违约金的同时，书面通知甲方解除本合同；</w:t>
      </w:r>
    </w:p>
    <w:p w14:paraId="5D4595F7">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及要求违约方向守约方支付合同结算金额的30%的违约金；</w:t>
      </w:r>
    </w:p>
    <w:p w14:paraId="51971DF7">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D65628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58187B2">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6.6因任何一方违约引发诉讼的，违约方应承担守约方为维护自身权益而产生的合理成本支出，包括但不限于律师费、诉讼费、保全费、差旅费、公证费、鉴定费等。</w:t>
      </w:r>
    </w:p>
    <w:p w14:paraId="753F8968">
      <w:pPr>
        <w:snapToGrid w:val="0"/>
        <w:spacing w:line="360" w:lineRule="auto"/>
        <w:ind w:firstLine="482" w:firstLineChars="200"/>
        <w:rPr>
          <w:rFonts w:hint="eastAsia" w:ascii="宋体" w:hAnsi="宋体" w:cs="宋体"/>
          <w:b/>
          <w:bCs/>
          <w:sz w:val="24"/>
          <w:szCs w:val="24"/>
        </w:rPr>
      </w:pPr>
      <w:bookmarkStart w:id="63" w:name="_Toc15583"/>
      <w:bookmarkStart w:id="64" w:name="_Toc16021"/>
      <w:bookmarkStart w:id="65" w:name="_Toc28375"/>
      <w:r>
        <w:rPr>
          <w:rFonts w:hint="eastAsia" w:ascii="宋体" w:hAnsi="宋体" w:cs="宋体"/>
          <w:b/>
          <w:bCs/>
          <w:sz w:val="24"/>
          <w:szCs w:val="24"/>
        </w:rPr>
        <w:t>7.合同争议的解决</w:t>
      </w:r>
      <w:bookmarkEnd w:id="63"/>
      <w:bookmarkEnd w:id="64"/>
      <w:bookmarkEnd w:id="65"/>
    </w:p>
    <w:p w14:paraId="61B45C1E">
      <w:pPr>
        <w:snapToGrid w:val="0"/>
        <w:spacing w:line="360" w:lineRule="auto"/>
        <w:ind w:firstLine="720" w:firstLineChars="300"/>
      </w:pPr>
      <w:r>
        <w:rPr>
          <w:rFonts w:hint="eastAsia" w:ascii="宋体" w:hAnsi="宋体" w:cs="宋体"/>
          <w:sz w:val="24"/>
          <w:szCs w:val="24"/>
        </w:rPr>
        <w:t>本合同如发生争议，买卖双方应当及时协商解决，协商不成时，按以下方式处理：向</w:t>
      </w:r>
      <w:r>
        <w:rPr>
          <w:rFonts w:hint="eastAsia" w:ascii="宋体" w:hAnsi="宋体" w:cs="宋体"/>
          <w:sz w:val="24"/>
          <w:szCs w:val="24"/>
          <w:u w:val="single"/>
        </w:rPr>
        <w:t xml:space="preserve">  桐城市 </w:t>
      </w:r>
      <w:r>
        <w:rPr>
          <w:rFonts w:hint="eastAsia" w:ascii="宋体" w:hAnsi="宋体" w:cs="宋体"/>
          <w:sz w:val="24"/>
          <w:szCs w:val="24"/>
        </w:rPr>
        <w:t>人民法院起诉。</w:t>
      </w:r>
    </w:p>
    <w:p w14:paraId="5F3EC4F6">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8.合同生效</w:t>
      </w:r>
    </w:p>
    <w:p w14:paraId="0616F7F3">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本合同自</w:t>
      </w:r>
      <w:r>
        <w:rPr>
          <w:rFonts w:hint="eastAsia" w:ascii="宋体" w:hAnsi="宋体" w:cs="宋体"/>
          <w:sz w:val="24"/>
          <w:szCs w:val="24"/>
          <w:u w:val="single"/>
        </w:rPr>
        <w:t xml:space="preserve"> 签字盖章之日起 </w:t>
      </w:r>
      <w:r>
        <w:rPr>
          <w:rFonts w:hint="eastAsia" w:ascii="宋体" w:hAnsi="宋体" w:cs="宋体"/>
          <w:sz w:val="24"/>
          <w:szCs w:val="24"/>
        </w:rPr>
        <w:t>生效。</w:t>
      </w:r>
    </w:p>
    <w:p w14:paraId="3A32CBF1">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9.合同份数</w:t>
      </w:r>
    </w:p>
    <w:p w14:paraId="49C6ABE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本合同一式</w:t>
      </w:r>
      <w:r>
        <w:rPr>
          <w:rFonts w:hint="eastAsia" w:ascii="宋体" w:hAnsi="宋体" w:cs="宋体"/>
          <w:sz w:val="24"/>
          <w:szCs w:val="24"/>
          <w:u w:val="single"/>
        </w:rPr>
        <w:t xml:space="preserve"> 叁 </w:t>
      </w:r>
      <w:r>
        <w:rPr>
          <w:rFonts w:hint="eastAsia" w:ascii="宋体" w:hAnsi="宋体" w:cs="宋体"/>
          <w:sz w:val="24"/>
          <w:szCs w:val="24"/>
        </w:rPr>
        <w:t>份，甲方执</w:t>
      </w:r>
      <w:r>
        <w:rPr>
          <w:rFonts w:hint="eastAsia" w:ascii="宋体" w:hAnsi="宋体" w:cs="宋体"/>
          <w:sz w:val="24"/>
          <w:szCs w:val="24"/>
          <w:u w:val="single"/>
        </w:rPr>
        <w:t xml:space="preserve"> 贰 </w:t>
      </w:r>
      <w:r>
        <w:rPr>
          <w:rFonts w:hint="eastAsia" w:ascii="宋体" w:hAnsi="宋体" w:cs="宋体"/>
          <w:sz w:val="24"/>
          <w:szCs w:val="24"/>
        </w:rPr>
        <w:t>份，乙方执</w:t>
      </w:r>
      <w:r>
        <w:rPr>
          <w:rFonts w:hint="eastAsia" w:ascii="宋体" w:hAnsi="宋体" w:cs="宋体"/>
          <w:sz w:val="24"/>
          <w:szCs w:val="24"/>
          <w:u w:val="single"/>
        </w:rPr>
        <w:t xml:space="preserve"> 壹 </w:t>
      </w:r>
      <w:r>
        <w:rPr>
          <w:rFonts w:hint="eastAsia" w:ascii="宋体" w:hAnsi="宋体" w:cs="宋体"/>
          <w:sz w:val="24"/>
          <w:szCs w:val="24"/>
        </w:rPr>
        <w:t>份，均具有同等法律效力。</w:t>
      </w:r>
    </w:p>
    <w:p w14:paraId="65BD7E1B">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合同订立时间：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319BACB3">
      <w:pPr>
        <w:snapToGrid w:val="0"/>
        <w:spacing w:line="360" w:lineRule="auto"/>
        <w:ind w:firstLine="480" w:firstLineChars="200"/>
        <w:rPr>
          <w:rFonts w:hint="eastAsia" w:ascii="宋体" w:hAnsi="宋体" w:cs="宋体"/>
          <w:sz w:val="24"/>
          <w:szCs w:val="24"/>
          <w:u w:val="single"/>
        </w:rPr>
      </w:pPr>
      <w:r>
        <w:rPr>
          <w:rFonts w:hint="eastAsia" w:ascii="宋体" w:hAnsi="宋体" w:cs="宋体"/>
          <w:sz w:val="24"/>
          <w:szCs w:val="24"/>
        </w:rPr>
        <w:t>合同订立地点：</w:t>
      </w:r>
      <w:r>
        <w:rPr>
          <w:rFonts w:hint="eastAsia" w:ascii="宋体" w:hAnsi="宋体" w:cs="宋体"/>
          <w:sz w:val="24"/>
          <w:szCs w:val="24"/>
          <w:u w:val="single"/>
        </w:rPr>
        <w:t xml:space="preserve"> 桐城师范高等专科学校 </w:t>
      </w:r>
    </w:p>
    <w:p w14:paraId="3C3D0F2B">
      <w:pPr>
        <w:pStyle w:val="16"/>
      </w:pPr>
    </w:p>
    <w:p w14:paraId="0066D489">
      <w:pPr>
        <w:pStyle w:val="16"/>
      </w:pPr>
    </w:p>
    <w:p w14:paraId="3D1A9681">
      <w:pPr>
        <w:pStyle w:val="16"/>
      </w:pPr>
    </w:p>
    <w:p w14:paraId="23790388">
      <w:pPr>
        <w:pStyle w:val="16"/>
      </w:pPr>
    </w:p>
    <w:p w14:paraId="66EA178F">
      <w:pPr>
        <w:pStyle w:val="16"/>
      </w:pPr>
    </w:p>
    <w:p w14:paraId="68943FBE">
      <w:pPr>
        <w:pStyle w:val="16"/>
      </w:pPr>
    </w:p>
    <w:p w14:paraId="7F7D50D4">
      <w:pPr>
        <w:pStyle w:val="16"/>
      </w:pPr>
    </w:p>
    <w:tbl>
      <w:tblPr>
        <w:tblStyle w:val="41"/>
        <w:tblW w:w="5080"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589"/>
        <w:gridCol w:w="1991"/>
        <w:gridCol w:w="2300"/>
        <w:gridCol w:w="2097"/>
      </w:tblGrid>
      <w:tr w14:paraId="7707026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51" w:type="pct"/>
            <w:gridSpan w:val="2"/>
            <w:tcBorders>
              <w:bottom w:val="single" w:color="auto" w:sz="2" w:space="0"/>
              <w:right w:val="single" w:color="auto" w:sz="2" w:space="0"/>
            </w:tcBorders>
            <w:vAlign w:val="center"/>
          </w:tcPr>
          <w:p w14:paraId="0D7BAAAF">
            <w:pPr>
              <w:snapToGrid w:val="0"/>
              <w:spacing w:line="360" w:lineRule="auto"/>
              <w:jc w:val="center"/>
              <w:rPr>
                <w:rFonts w:hint="eastAsia" w:ascii="宋体" w:hAnsi="宋体" w:cs="宋体"/>
                <w:sz w:val="24"/>
                <w:szCs w:val="24"/>
              </w:rPr>
            </w:pPr>
            <w:r>
              <w:rPr>
                <w:rFonts w:hint="eastAsia" w:ascii="宋体" w:hAnsi="宋体" w:cs="宋体"/>
                <w:sz w:val="24"/>
                <w:szCs w:val="24"/>
              </w:rPr>
              <w:t>甲方（采购人、受采购人委托签订合同的单位或采购文件约定的合同甲方）</w:t>
            </w:r>
          </w:p>
        </w:tc>
        <w:tc>
          <w:tcPr>
            <w:tcW w:w="2448" w:type="pct"/>
            <w:gridSpan w:val="2"/>
            <w:tcBorders>
              <w:left w:val="single" w:color="auto" w:sz="2" w:space="0"/>
              <w:bottom w:val="single" w:color="auto" w:sz="2" w:space="0"/>
            </w:tcBorders>
            <w:vAlign w:val="center"/>
          </w:tcPr>
          <w:p w14:paraId="5C4FA8AE">
            <w:pPr>
              <w:snapToGrid w:val="0"/>
              <w:spacing w:line="360" w:lineRule="auto"/>
              <w:jc w:val="center"/>
              <w:rPr>
                <w:rFonts w:hint="eastAsia" w:ascii="宋体" w:hAnsi="宋体" w:cs="宋体"/>
                <w:sz w:val="24"/>
                <w:szCs w:val="24"/>
              </w:rPr>
            </w:pPr>
            <w:r>
              <w:rPr>
                <w:rFonts w:hint="eastAsia" w:ascii="宋体" w:hAnsi="宋体" w:cs="宋体"/>
                <w:sz w:val="24"/>
                <w:szCs w:val="24"/>
              </w:rPr>
              <w:t>乙方（供应商）</w:t>
            </w:r>
          </w:p>
        </w:tc>
      </w:tr>
      <w:tr w14:paraId="7DCDF0A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62F36E5F">
            <w:pPr>
              <w:snapToGrid w:val="0"/>
              <w:spacing w:line="360" w:lineRule="auto"/>
              <w:jc w:val="center"/>
              <w:rPr>
                <w:rFonts w:hint="eastAsia" w:ascii="宋体" w:hAnsi="宋体" w:cs="宋体"/>
                <w:sz w:val="24"/>
                <w:szCs w:val="24"/>
              </w:rPr>
            </w:pPr>
            <w:r>
              <w:rPr>
                <w:rFonts w:hint="eastAsia" w:ascii="宋体" w:hAnsi="宋体" w:cs="宋体"/>
                <w:sz w:val="24"/>
                <w:szCs w:val="24"/>
              </w:rPr>
              <w:t>单位名称</w:t>
            </w:r>
          </w:p>
          <w:p w14:paraId="2FDE2D9F">
            <w:pPr>
              <w:snapToGrid w:val="0"/>
              <w:spacing w:line="360" w:lineRule="auto"/>
              <w:jc w:val="center"/>
              <w:rPr>
                <w:rFonts w:hint="eastAsia" w:ascii="宋体" w:hAnsi="宋体" w:cs="宋体"/>
                <w:sz w:val="24"/>
                <w:szCs w:val="24"/>
              </w:rPr>
            </w:pPr>
            <w:r>
              <w:rPr>
                <w:rFonts w:hint="eastAsia" w:ascii="宋体" w:hAnsi="宋体" w:cs="宋体"/>
                <w:sz w:val="24"/>
                <w:szCs w:val="24"/>
              </w:rPr>
              <w:t>（公章或合同章）</w:t>
            </w:r>
          </w:p>
        </w:tc>
        <w:tc>
          <w:tcPr>
            <w:tcW w:w="1109" w:type="pct"/>
            <w:tcBorders>
              <w:top w:val="single" w:color="auto" w:sz="2" w:space="0"/>
              <w:left w:val="single" w:color="auto" w:sz="2" w:space="0"/>
              <w:bottom w:val="single" w:color="auto" w:sz="2" w:space="0"/>
              <w:right w:val="single" w:color="auto" w:sz="2" w:space="0"/>
            </w:tcBorders>
            <w:vAlign w:val="center"/>
          </w:tcPr>
          <w:p w14:paraId="7988F0F1">
            <w:pPr>
              <w:snapToGrid w:val="0"/>
              <w:spacing w:line="360" w:lineRule="auto"/>
              <w:jc w:val="center"/>
              <w:rPr>
                <w:rFonts w:hint="eastAsia" w:ascii="宋体" w:hAnsi="宋体" w:cs="宋体"/>
                <w:sz w:val="24"/>
                <w:szCs w:val="24"/>
              </w:rPr>
            </w:pPr>
            <w:r>
              <w:rPr>
                <w:rFonts w:hint="eastAsia" w:ascii="宋体" w:hAnsi="宋体" w:cs="宋体"/>
                <w:sz w:val="24"/>
                <w:szCs w:val="24"/>
              </w:rPr>
              <w:t>桐城师范高等专科学校</w:t>
            </w:r>
          </w:p>
        </w:tc>
        <w:tc>
          <w:tcPr>
            <w:tcW w:w="1281" w:type="pct"/>
            <w:tcBorders>
              <w:top w:val="single" w:color="auto" w:sz="2" w:space="0"/>
              <w:left w:val="single" w:color="auto" w:sz="2" w:space="0"/>
              <w:bottom w:val="single" w:color="auto" w:sz="2" w:space="0"/>
              <w:right w:val="single" w:color="auto" w:sz="2" w:space="0"/>
            </w:tcBorders>
            <w:vAlign w:val="center"/>
          </w:tcPr>
          <w:p w14:paraId="159058FF">
            <w:pPr>
              <w:snapToGrid w:val="0"/>
              <w:spacing w:line="360" w:lineRule="auto"/>
              <w:jc w:val="center"/>
              <w:rPr>
                <w:rFonts w:hint="eastAsia" w:ascii="宋体" w:hAnsi="宋体" w:cs="宋体"/>
                <w:sz w:val="24"/>
                <w:szCs w:val="24"/>
              </w:rPr>
            </w:pPr>
            <w:r>
              <w:rPr>
                <w:rFonts w:hint="eastAsia" w:ascii="宋体" w:hAnsi="宋体" w:cs="宋体"/>
                <w:sz w:val="24"/>
                <w:szCs w:val="24"/>
              </w:rPr>
              <w:t>单位名称</w:t>
            </w:r>
          </w:p>
          <w:p w14:paraId="5DB2E376">
            <w:pPr>
              <w:snapToGrid w:val="0"/>
              <w:spacing w:line="360" w:lineRule="auto"/>
              <w:jc w:val="center"/>
              <w:rPr>
                <w:rFonts w:hint="eastAsia" w:ascii="宋体" w:hAnsi="宋体" w:cs="宋体"/>
                <w:sz w:val="24"/>
                <w:szCs w:val="24"/>
              </w:rPr>
            </w:pPr>
            <w:r>
              <w:rPr>
                <w:rFonts w:hint="eastAsia" w:ascii="宋体" w:hAnsi="宋体" w:cs="宋体"/>
                <w:sz w:val="24"/>
                <w:szCs w:val="24"/>
              </w:rPr>
              <w:t>（公章或合同章）</w:t>
            </w:r>
          </w:p>
        </w:tc>
        <w:tc>
          <w:tcPr>
            <w:tcW w:w="1166" w:type="pct"/>
            <w:tcBorders>
              <w:top w:val="single" w:color="auto" w:sz="2" w:space="0"/>
              <w:left w:val="single" w:color="auto" w:sz="2" w:space="0"/>
              <w:bottom w:val="single" w:color="auto" w:sz="2" w:space="0"/>
            </w:tcBorders>
            <w:vAlign w:val="center"/>
          </w:tcPr>
          <w:p w14:paraId="32CD01E1">
            <w:pPr>
              <w:snapToGrid w:val="0"/>
              <w:spacing w:line="360" w:lineRule="auto"/>
              <w:jc w:val="center"/>
              <w:rPr>
                <w:rFonts w:hint="eastAsia" w:ascii="宋体" w:hAnsi="宋体" w:cs="宋体"/>
                <w:spacing w:val="20"/>
                <w:sz w:val="24"/>
                <w:szCs w:val="24"/>
              </w:rPr>
            </w:pPr>
          </w:p>
        </w:tc>
      </w:tr>
      <w:tr w14:paraId="06D96A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vMerge w:val="restart"/>
            <w:tcBorders>
              <w:top w:val="single" w:color="auto" w:sz="2" w:space="0"/>
              <w:right w:val="single" w:color="auto" w:sz="2" w:space="0"/>
            </w:tcBorders>
            <w:vAlign w:val="center"/>
          </w:tcPr>
          <w:p w14:paraId="6096F1D1">
            <w:pPr>
              <w:snapToGrid w:val="0"/>
              <w:spacing w:line="360" w:lineRule="auto"/>
              <w:jc w:val="center"/>
              <w:rPr>
                <w:rFonts w:hint="eastAsia" w:ascii="宋体" w:hAnsi="宋体" w:cs="宋体"/>
                <w:sz w:val="24"/>
                <w:szCs w:val="24"/>
              </w:rPr>
            </w:pPr>
            <w:r>
              <w:rPr>
                <w:rFonts w:hint="eastAsia" w:ascii="宋体" w:hAnsi="宋体" w:cs="宋体"/>
                <w:sz w:val="24"/>
                <w:szCs w:val="24"/>
              </w:rPr>
              <w:t>法定代表人</w:t>
            </w:r>
          </w:p>
          <w:p w14:paraId="19C7B82B">
            <w:pPr>
              <w:snapToGrid w:val="0"/>
              <w:spacing w:line="360" w:lineRule="auto"/>
              <w:ind w:firstLine="115" w:firstLineChars="48"/>
              <w:jc w:val="center"/>
              <w:rPr>
                <w:rFonts w:hint="eastAsia" w:ascii="宋体" w:hAnsi="宋体" w:cs="宋体"/>
                <w:sz w:val="24"/>
                <w:szCs w:val="24"/>
              </w:rPr>
            </w:pPr>
            <w:r>
              <w:rPr>
                <w:rFonts w:hint="eastAsia" w:ascii="宋体" w:hAnsi="宋体" w:cs="宋体"/>
                <w:sz w:val="24"/>
                <w:szCs w:val="24"/>
              </w:rPr>
              <w:t>或其委托代理人</w:t>
            </w:r>
          </w:p>
          <w:p w14:paraId="1DF109E9">
            <w:pPr>
              <w:snapToGrid w:val="0"/>
              <w:spacing w:line="360" w:lineRule="auto"/>
              <w:ind w:firstLine="115" w:firstLineChars="48"/>
              <w:jc w:val="center"/>
              <w:rPr>
                <w:rFonts w:hint="eastAsia" w:ascii="宋体" w:hAnsi="宋体" w:cs="宋体"/>
                <w:sz w:val="24"/>
                <w:szCs w:val="24"/>
              </w:rPr>
            </w:pPr>
            <w:r>
              <w:rPr>
                <w:rFonts w:hint="eastAsia" w:ascii="宋体" w:hAnsi="宋体" w:cs="宋体"/>
                <w:sz w:val="24"/>
                <w:szCs w:val="24"/>
              </w:rPr>
              <w:t>（签章）</w:t>
            </w:r>
          </w:p>
        </w:tc>
        <w:tc>
          <w:tcPr>
            <w:tcW w:w="1109" w:type="pct"/>
            <w:vMerge w:val="restart"/>
            <w:tcBorders>
              <w:top w:val="single" w:color="auto" w:sz="2" w:space="0"/>
              <w:left w:val="single" w:color="auto" w:sz="2" w:space="0"/>
              <w:right w:val="single" w:color="auto" w:sz="2" w:space="0"/>
            </w:tcBorders>
            <w:vAlign w:val="center"/>
          </w:tcPr>
          <w:p w14:paraId="431603A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right w:val="single" w:color="auto" w:sz="2" w:space="0"/>
            </w:tcBorders>
            <w:vAlign w:val="center"/>
          </w:tcPr>
          <w:p w14:paraId="3E9675CE">
            <w:pPr>
              <w:snapToGrid w:val="0"/>
              <w:spacing w:line="360" w:lineRule="auto"/>
              <w:jc w:val="center"/>
              <w:rPr>
                <w:rFonts w:hint="eastAsia" w:ascii="宋体" w:hAnsi="宋体" w:cs="宋体"/>
                <w:sz w:val="24"/>
                <w:szCs w:val="24"/>
              </w:rPr>
            </w:pPr>
            <w:r>
              <w:rPr>
                <w:rFonts w:hint="eastAsia" w:ascii="宋体" w:hAnsi="宋体" w:cs="宋体"/>
                <w:sz w:val="24"/>
                <w:szCs w:val="24"/>
              </w:rPr>
              <w:t>法定代表人</w:t>
            </w:r>
          </w:p>
          <w:p w14:paraId="2D3247C3">
            <w:pPr>
              <w:snapToGrid w:val="0"/>
              <w:spacing w:line="360" w:lineRule="auto"/>
              <w:jc w:val="center"/>
              <w:rPr>
                <w:rFonts w:hint="eastAsia" w:ascii="宋体" w:hAnsi="宋体" w:cs="宋体"/>
                <w:sz w:val="24"/>
                <w:szCs w:val="24"/>
              </w:rPr>
            </w:pPr>
            <w:r>
              <w:rPr>
                <w:rFonts w:hint="eastAsia" w:ascii="宋体" w:hAnsi="宋体" w:cs="宋体"/>
                <w:sz w:val="24"/>
                <w:szCs w:val="24"/>
              </w:rPr>
              <w:t>或其委托代理人</w:t>
            </w:r>
          </w:p>
          <w:p w14:paraId="7CF7DB34">
            <w:pPr>
              <w:snapToGrid w:val="0"/>
              <w:spacing w:line="360" w:lineRule="auto"/>
              <w:jc w:val="center"/>
              <w:rPr>
                <w:rFonts w:hint="eastAsia" w:ascii="宋体" w:hAnsi="宋体" w:cs="宋体"/>
                <w:sz w:val="24"/>
                <w:szCs w:val="24"/>
              </w:rPr>
            </w:pPr>
            <w:r>
              <w:rPr>
                <w:rFonts w:hint="eastAsia" w:ascii="宋体" w:hAnsi="宋体" w:cs="宋体"/>
                <w:sz w:val="24"/>
                <w:szCs w:val="24"/>
              </w:rPr>
              <w:t>（签章）</w:t>
            </w:r>
          </w:p>
        </w:tc>
        <w:tc>
          <w:tcPr>
            <w:tcW w:w="1166" w:type="pct"/>
            <w:tcBorders>
              <w:top w:val="single" w:color="auto" w:sz="2" w:space="0"/>
              <w:left w:val="single" w:color="auto" w:sz="2" w:space="0"/>
              <w:bottom w:val="single" w:color="auto" w:sz="2" w:space="0"/>
            </w:tcBorders>
            <w:vAlign w:val="center"/>
          </w:tcPr>
          <w:p w14:paraId="4BA15226">
            <w:pPr>
              <w:snapToGrid w:val="0"/>
              <w:spacing w:line="360" w:lineRule="auto"/>
              <w:jc w:val="center"/>
              <w:rPr>
                <w:rFonts w:hint="eastAsia" w:ascii="宋体" w:hAnsi="宋体" w:cs="宋体"/>
                <w:sz w:val="24"/>
                <w:szCs w:val="24"/>
              </w:rPr>
            </w:pPr>
          </w:p>
        </w:tc>
      </w:tr>
      <w:tr w14:paraId="680F071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vMerge w:val="continue"/>
            <w:tcBorders>
              <w:bottom w:val="single" w:color="auto" w:sz="2" w:space="0"/>
              <w:right w:val="single" w:color="auto" w:sz="2" w:space="0"/>
            </w:tcBorders>
            <w:vAlign w:val="center"/>
          </w:tcPr>
          <w:p w14:paraId="5DCB092D">
            <w:pPr>
              <w:snapToGrid w:val="0"/>
              <w:spacing w:line="360" w:lineRule="auto"/>
              <w:jc w:val="center"/>
              <w:rPr>
                <w:rFonts w:hint="eastAsia" w:ascii="宋体" w:hAnsi="宋体" w:cs="宋体"/>
                <w:sz w:val="24"/>
                <w:szCs w:val="24"/>
              </w:rPr>
            </w:pPr>
          </w:p>
        </w:tc>
        <w:tc>
          <w:tcPr>
            <w:tcW w:w="1109" w:type="pct"/>
            <w:vMerge w:val="continue"/>
            <w:tcBorders>
              <w:left w:val="single" w:color="auto" w:sz="2" w:space="0"/>
              <w:bottom w:val="single" w:color="auto" w:sz="2" w:space="0"/>
              <w:right w:val="single" w:color="auto" w:sz="2" w:space="0"/>
            </w:tcBorders>
            <w:vAlign w:val="center"/>
          </w:tcPr>
          <w:p w14:paraId="512BF277">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1E01A762">
            <w:pPr>
              <w:snapToGrid w:val="0"/>
              <w:spacing w:line="360" w:lineRule="auto"/>
              <w:jc w:val="center"/>
              <w:rPr>
                <w:rFonts w:hint="eastAsia" w:ascii="宋体" w:hAnsi="宋体" w:cs="宋体"/>
                <w:sz w:val="24"/>
                <w:szCs w:val="24"/>
              </w:rPr>
            </w:pPr>
            <w:r>
              <w:rPr>
                <w:rFonts w:hint="eastAsia" w:ascii="宋体" w:hAnsi="宋体" w:cs="宋体"/>
                <w:sz w:val="24"/>
                <w:szCs w:val="24"/>
              </w:rPr>
              <w:t>拥有者性别</w:t>
            </w:r>
          </w:p>
        </w:tc>
        <w:tc>
          <w:tcPr>
            <w:tcW w:w="1166" w:type="pct"/>
            <w:tcBorders>
              <w:top w:val="single" w:color="auto" w:sz="2" w:space="0"/>
              <w:left w:val="single" w:color="auto" w:sz="2" w:space="0"/>
              <w:bottom w:val="single" w:color="auto" w:sz="2" w:space="0"/>
            </w:tcBorders>
            <w:vAlign w:val="center"/>
          </w:tcPr>
          <w:p w14:paraId="407F2083">
            <w:pPr>
              <w:snapToGrid w:val="0"/>
              <w:spacing w:line="360" w:lineRule="auto"/>
              <w:jc w:val="center"/>
              <w:rPr>
                <w:rFonts w:hint="eastAsia" w:ascii="宋体" w:hAnsi="宋体" w:cs="宋体"/>
                <w:spacing w:val="20"/>
                <w:sz w:val="24"/>
                <w:szCs w:val="24"/>
              </w:rPr>
            </w:pPr>
          </w:p>
        </w:tc>
      </w:tr>
      <w:tr w14:paraId="3A004E3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23911FAF">
            <w:pPr>
              <w:snapToGrid w:val="0"/>
              <w:spacing w:line="360" w:lineRule="auto"/>
              <w:jc w:val="center"/>
              <w:rPr>
                <w:rFonts w:hint="eastAsia" w:ascii="宋体" w:hAnsi="宋体" w:cs="宋体"/>
                <w:sz w:val="24"/>
                <w:szCs w:val="24"/>
              </w:rPr>
            </w:pPr>
            <w:r>
              <w:rPr>
                <w:rFonts w:hint="eastAsia" w:ascii="宋体" w:hAnsi="宋体" w:cs="宋体"/>
                <w:sz w:val="24"/>
                <w:szCs w:val="24"/>
              </w:rPr>
              <w:t>住  所</w:t>
            </w:r>
          </w:p>
        </w:tc>
        <w:tc>
          <w:tcPr>
            <w:tcW w:w="1109" w:type="pct"/>
            <w:tcBorders>
              <w:top w:val="single" w:color="auto" w:sz="2" w:space="0"/>
              <w:left w:val="single" w:color="auto" w:sz="2" w:space="0"/>
              <w:bottom w:val="single" w:color="auto" w:sz="2" w:space="0"/>
              <w:right w:val="single" w:color="auto" w:sz="2" w:space="0"/>
            </w:tcBorders>
            <w:vAlign w:val="center"/>
          </w:tcPr>
          <w:p w14:paraId="117933E0">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1C7CDCC">
            <w:pPr>
              <w:snapToGrid w:val="0"/>
              <w:spacing w:line="360" w:lineRule="auto"/>
              <w:jc w:val="center"/>
              <w:rPr>
                <w:rFonts w:hint="eastAsia" w:ascii="宋体" w:hAnsi="宋体" w:cs="宋体"/>
                <w:sz w:val="24"/>
                <w:szCs w:val="24"/>
              </w:rPr>
            </w:pPr>
            <w:r>
              <w:rPr>
                <w:rFonts w:hint="eastAsia" w:ascii="宋体" w:hAnsi="宋体" w:cs="宋体"/>
                <w:sz w:val="24"/>
                <w:szCs w:val="24"/>
              </w:rPr>
              <w:t>住  所</w:t>
            </w:r>
          </w:p>
        </w:tc>
        <w:tc>
          <w:tcPr>
            <w:tcW w:w="1166" w:type="pct"/>
            <w:tcBorders>
              <w:top w:val="single" w:color="auto" w:sz="2" w:space="0"/>
              <w:left w:val="single" w:color="auto" w:sz="2" w:space="0"/>
              <w:bottom w:val="single" w:color="auto" w:sz="2" w:space="0"/>
            </w:tcBorders>
            <w:vAlign w:val="center"/>
          </w:tcPr>
          <w:p w14:paraId="192EF882">
            <w:pPr>
              <w:snapToGrid w:val="0"/>
              <w:spacing w:line="360" w:lineRule="auto"/>
              <w:jc w:val="center"/>
              <w:rPr>
                <w:rFonts w:hint="eastAsia" w:ascii="宋体" w:hAnsi="宋体" w:cs="宋体"/>
                <w:spacing w:val="20"/>
                <w:sz w:val="24"/>
                <w:szCs w:val="24"/>
              </w:rPr>
            </w:pPr>
          </w:p>
        </w:tc>
      </w:tr>
      <w:tr w14:paraId="4DD3BC4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8C4AC21">
            <w:pPr>
              <w:snapToGrid w:val="0"/>
              <w:spacing w:line="360" w:lineRule="auto"/>
              <w:jc w:val="center"/>
              <w:rPr>
                <w:rFonts w:hint="eastAsia" w:ascii="宋体" w:hAnsi="宋体" w:cs="宋体"/>
                <w:sz w:val="24"/>
                <w:szCs w:val="24"/>
              </w:rPr>
            </w:pPr>
            <w:r>
              <w:rPr>
                <w:rFonts w:hint="eastAsia" w:ascii="宋体" w:hAnsi="宋体" w:cs="宋体"/>
                <w:sz w:val="24"/>
                <w:szCs w:val="24"/>
              </w:rPr>
              <w:t>联 系 人</w:t>
            </w:r>
          </w:p>
        </w:tc>
        <w:tc>
          <w:tcPr>
            <w:tcW w:w="1109" w:type="pct"/>
            <w:tcBorders>
              <w:top w:val="single" w:color="auto" w:sz="2" w:space="0"/>
              <w:left w:val="single" w:color="auto" w:sz="2" w:space="0"/>
              <w:bottom w:val="single" w:color="auto" w:sz="2" w:space="0"/>
              <w:right w:val="single" w:color="auto" w:sz="2" w:space="0"/>
            </w:tcBorders>
            <w:vAlign w:val="center"/>
          </w:tcPr>
          <w:p w14:paraId="6C0C514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2F969165">
            <w:pPr>
              <w:snapToGrid w:val="0"/>
              <w:spacing w:line="360" w:lineRule="auto"/>
              <w:jc w:val="center"/>
              <w:rPr>
                <w:rFonts w:hint="eastAsia" w:ascii="宋体" w:hAnsi="宋体" w:cs="宋体"/>
                <w:sz w:val="24"/>
                <w:szCs w:val="24"/>
              </w:rPr>
            </w:pPr>
            <w:r>
              <w:rPr>
                <w:rFonts w:hint="eastAsia" w:ascii="宋体" w:hAnsi="宋体" w:cs="宋体"/>
                <w:sz w:val="24"/>
                <w:szCs w:val="24"/>
              </w:rPr>
              <w:t>联 系 人</w:t>
            </w:r>
          </w:p>
        </w:tc>
        <w:tc>
          <w:tcPr>
            <w:tcW w:w="1166" w:type="pct"/>
            <w:tcBorders>
              <w:top w:val="single" w:color="auto" w:sz="2" w:space="0"/>
              <w:left w:val="single" w:color="auto" w:sz="2" w:space="0"/>
              <w:bottom w:val="single" w:color="auto" w:sz="2" w:space="0"/>
            </w:tcBorders>
            <w:vAlign w:val="center"/>
          </w:tcPr>
          <w:p w14:paraId="3E54948D">
            <w:pPr>
              <w:snapToGrid w:val="0"/>
              <w:spacing w:line="360" w:lineRule="auto"/>
              <w:jc w:val="center"/>
              <w:rPr>
                <w:rFonts w:hint="eastAsia" w:ascii="宋体" w:hAnsi="宋体" w:cs="宋体"/>
                <w:spacing w:val="20"/>
                <w:sz w:val="24"/>
                <w:szCs w:val="24"/>
              </w:rPr>
            </w:pPr>
          </w:p>
        </w:tc>
      </w:tr>
      <w:tr w14:paraId="60CBEB4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4EEB3F45">
            <w:pPr>
              <w:snapToGrid w:val="0"/>
              <w:spacing w:line="360" w:lineRule="auto"/>
              <w:jc w:val="center"/>
              <w:rPr>
                <w:rFonts w:hint="eastAsia" w:ascii="宋体" w:hAnsi="宋体" w:cs="宋体"/>
                <w:sz w:val="24"/>
                <w:szCs w:val="24"/>
              </w:rPr>
            </w:pPr>
            <w:r>
              <w:rPr>
                <w:rFonts w:hint="eastAsia" w:ascii="宋体" w:hAnsi="宋体" w:cs="宋体"/>
                <w:sz w:val="24"/>
                <w:szCs w:val="24"/>
              </w:rPr>
              <w:t>联系电话</w:t>
            </w:r>
          </w:p>
        </w:tc>
        <w:tc>
          <w:tcPr>
            <w:tcW w:w="1109" w:type="pct"/>
            <w:tcBorders>
              <w:top w:val="single" w:color="auto" w:sz="2" w:space="0"/>
              <w:left w:val="single" w:color="auto" w:sz="2" w:space="0"/>
              <w:bottom w:val="single" w:color="auto" w:sz="2" w:space="0"/>
              <w:right w:val="single" w:color="auto" w:sz="2" w:space="0"/>
            </w:tcBorders>
            <w:vAlign w:val="center"/>
          </w:tcPr>
          <w:p w14:paraId="31E7127C">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08BCDF6A">
            <w:pPr>
              <w:snapToGrid w:val="0"/>
              <w:spacing w:line="360" w:lineRule="auto"/>
              <w:jc w:val="center"/>
              <w:rPr>
                <w:rFonts w:hint="eastAsia" w:ascii="宋体" w:hAnsi="宋体" w:cs="宋体"/>
                <w:sz w:val="24"/>
                <w:szCs w:val="24"/>
              </w:rPr>
            </w:pPr>
            <w:r>
              <w:rPr>
                <w:rFonts w:hint="eastAsia" w:ascii="宋体" w:hAnsi="宋体" w:cs="宋体"/>
                <w:sz w:val="24"/>
                <w:szCs w:val="24"/>
              </w:rPr>
              <w:t>联系电话</w:t>
            </w:r>
          </w:p>
        </w:tc>
        <w:tc>
          <w:tcPr>
            <w:tcW w:w="1166" w:type="pct"/>
            <w:tcBorders>
              <w:top w:val="single" w:color="auto" w:sz="2" w:space="0"/>
              <w:left w:val="single" w:color="auto" w:sz="2" w:space="0"/>
              <w:bottom w:val="single" w:color="auto" w:sz="2" w:space="0"/>
            </w:tcBorders>
            <w:vAlign w:val="center"/>
          </w:tcPr>
          <w:p w14:paraId="50D39A1B">
            <w:pPr>
              <w:snapToGrid w:val="0"/>
              <w:spacing w:line="360" w:lineRule="auto"/>
              <w:jc w:val="center"/>
              <w:rPr>
                <w:rFonts w:hint="eastAsia" w:ascii="宋体" w:hAnsi="宋体" w:cs="宋体"/>
                <w:spacing w:val="20"/>
                <w:sz w:val="24"/>
                <w:szCs w:val="24"/>
              </w:rPr>
            </w:pPr>
          </w:p>
        </w:tc>
      </w:tr>
      <w:tr w14:paraId="7DECFB2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0A0DEB19">
            <w:pPr>
              <w:snapToGrid w:val="0"/>
              <w:spacing w:line="360" w:lineRule="auto"/>
              <w:jc w:val="center"/>
              <w:rPr>
                <w:rFonts w:hint="eastAsia" w:ascii="宋体" w:hAnsi="宋体" w:cs="宋体"/>
                <w:sz w:val="24"/>
                <w:szCs w:val="24"/>
              </w:rPr>
            </w:pPr>
            <w:r>
              <w:rPr>
                <w:rFonts w:hint="eastAsia" w:ascii="宋体" w:hAnsi="宋体" w:cs="宋体"/>
                <w:sz w:val="24"/>
                <w:szCs w:val="24"/>
              </w:rPr>
              <w:t>通信地址</w:t>
            </w:r>
          </w:p>
        </w:tc>
        <w:tc>
          <w:tcPr>
            <w:tcW w:w="1109" w:type="pct"/>
            <w:tcBorders>
              <w:top w:val="single" w:color="auto" w:sz="2" w:space="0"/>
              <w:left w:val="single" w:color="auto" w:sz="2" w:space="0"/>
              <w:bottom w:val="single" w:color="auto" w:sz="2" w:space="0"/>
              <w:right w:val="single" w:color="auto" w:sz="2" w:space="0"/>
            </w:tcBorders>
            <w:vAlign w:val="center"/>
          </w:tcPr>
          <w:p w14:paraId="5300CB90">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608E36F7">
            <w:pPr>
              <w:snapToGrid w:val="0"/>
              <w:spacing w:line="360" w:lineRule="auto"/>
              <w:jc w:val="center"/>
              <w:rPr>
                <w:rFonts w:hint="eastAsia" w:ascii="宋体" w:hAnsi="宋体" w:cs="宋体"/>
                <w:sz w:val="24"/>
                <w:szCs w:val="24"/>
              </w:rPr>
            </w:pPr>
            <w:r>
              <w:rPr>
                <w:rFonts w:hint="eastAsia" w:ascii="宋体" w:hAnsi="宋体" w:cs="宋体"/>
                <w:sz w:val="24"/>
                <w:szCs w:val="24"/>
              </w:rPr>
              <w:t>通信地址</w:t>
            </w:r>
          </w:p>
        </w:tc>
        <w:tc>
          <w:tcPr>
            <w:tcW w:w="1166" w:type="pct"/>
            <w:tcBorders>
              <w:top w:val="single" w:color="auto" w:sz="2" w:space="0"/>
              <w:left w:val="single" w:color="auto" w:sz="2" w:space="0"/>
              <w:bottom w:val="single" w:color="auto" w:sz="2" w:space="0"/>
            </w:tcBorders>
            <w:vAlign w:val="center"/>
          </w:tcPr>
          <w:p w14:paraId="4ADF91E6">
            <w:pPr>
              <w:snapToGrid w:val="0"/>
              <w:spacing w:line="360" w:lineRule="auto"/>
              <w:jc w:val="center"/>
              <w:rPr>
                <w:rFonts w:hint="eastAsia" w:ascii="宋体" w:hAnsi="宋体" w:cs="宋体"/>
                <w:spacing w:val="20"/>
                <w:sz w:val="24"/>
                <w:szCs w:val="24"/>
              </w:rPr>
            </w:pPr>
          </w:p>
        </w:tc>
      </w:tr>
      <w:tr w14:paraId="6460777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076C9FEE">
            <w:pPr>
              <w:snapToGrid w:val="0"/>
              <w:spacing w:line="360" w:lineRule="auto"/>
              <w:jc w:val="center"/>
              <w:rPr>
                <w:rFonts w:hint="eastAsia" w:ascii="宋体" w:hAnsi="宋体" w:cs="宋体"/>
                <w:sz w:val="24"/>
                <w:szCs w:val="24"/>
              </w:rPr>
            </w:pPr>
            <w:r>
              <w:rPr>
                <w:rFonts w:hint="eastAsia" w:ascii="宋体" w:hAnsi="宋体" w:cs="宋体"/>
                <w:sz w:val="24"/>
                <w:szCs w:val="24"/>
              </w:rPr>
              <w:t>邮政编码</w:t>
            </w:r>
          </w:p>
        </w:tc>
        <w:tc>
          <w:tcPr>
            <w:tcW w:w="1109" w:type="pct"/>
            <w:tcBorders>
              <w:top w:val="single" w:color="auto" w:sz="2" w:space="0"/>
              <w:left w:val="single" w:color="auto" w:sz="2" w:space="0"/>
              <w:bottom w:val="single" w:color="auto" w:sz="2" w:space="0"/>
              <w:right w:val="single" w:color="auto" w:sz="2" w:space="0"/>
            </w:tcBorders>
            <w:vAlign w:val="center"/>
          </w:tcPr>
          <w:p w14:paraId="6D4011F3">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4DFD82B9">
            <w:pPr>
              <w:snapToGrid w:val="0"/>
              <w:spacing w:line="360" w:lineRule="auto"/>
              <w:jc w:val="center"/>
              <w:rPr>
                <w:rFonts w:hint="eastAsia" w:ascii="宋体" w:hAnsi="宋体" w:cs="宋体"/>
                <w:sz w:val="24"/>
                <w:szCs w:val="24"/>
              </w:rPr>
            </w:pPr>
            <w:r>
              <w:rPr>
                <w:rFonts w:hint="eastAsia" w:ascii="宋体" w:hAnsi="宋体" w:cs="宋体"/>
                <w:sz w:val="24"/>
                <w:szCs w:val="24"/>
              </w:rPr>
              <w:t>邮政编码</w:t>
            </w:r>
          </w:p>
        </w:tc>
        <w:tc>
          <w:tcPr>
            <w:tcW w:w="1166" w:type="pct"/>
            <w:tcBorders>
              <w:top w:val="single" w:color="auto" w:sz="2" w:space="0"/>
              <w:left w:val="single" w:color="auto" w:sz="2" w:space="0"/>
              <w:bottom w:val="single" w:color="auto" w:sz="2" w:space="0"/>
            </w:tcBorders>
            <w:vAlign w:val="center"/>
          </w:tcPr>
          <w:p w14:paraId="118CDF55">
            <w:pPr>
              <w:snapToGrid w:val="0"/>
              <w:spacing w:line="360" w:lineRule="auto"/>
              <w:jc w:val="center"/>
              <w:rPr>
                <w:rFonts w:hint="eastAsia" w:ascii="宋体" w:hAnsi="宋体" w:cs="宋体"/>
                <w:spacing w:val="20"/>
                <w:sz w:val="24"/>
                <w:szCs w:val="24"/>
              </w:rPr>
            </w:pPr>
          </w:p>
        </w:tc>
      </w:tr>
      <w:tr w14:paraId="302FF41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63D4549E">
            <w:pPr>
              <w:snapToGrid w:val="0"/>
              <w:spacing w:line="360" w:lineRule="auto"/>
              <w:jc w:val="center"/>
              <w:rPr>
                <w:rFonts w:hint="eastAsia" w:ascii="宋体" w:hAnsi="宋体" w:cs="宋体"/>
                <w:sz w:val="24"/>
                <w:szCs w:val="24"/>
              </w:rPr>
            </w:pPr>
            <w:r>
              <w:rPr>
                <w:rFonts w:hint="eastAsia" w:ascii="宋体" w:hAnsi="宋体" w:cs="宋体"/>
                <w:sz w:val="24"/>
                <w:szCs w:val="24"/>
              </w:rPr>
              <w:t>电子邮箱</w:t>
            </w:r>
          </w:p>
        </w:tc>
        <w:tc>
          <w:tcPr>
            <w:tcW w:w="1109" w:type="pct"/>
            <w:tcBorders>
              <w:top w:val="single" w:color="auto" w:sz="2" w:space="0"/>
              <w:left w:val="single" w:color="auto" w:sz="2" w:space="0"/>
              <w:bottom w:val="single" w:color="auto" w:sz="2" w:space="0"/>
              <w:right w:val="single" w:color="auto" w:sz="2" w:space="0"/>
            </w:tcBorders>
            <w:vAlign w:val="center"/>
          </w:tcPr>
          <w:p w14:paraId="63BF0E4F">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3394CF88">
            <w:pPr>
              <w:snapToGrid w:val="0"/>
              <w:spacing w:line="360" w:lineRule="auto"/>
              <w:jc w:val="center"/>
              <w:rPr>
                <w:rFonts w:hint="eastAsia" w:ascii="宋体" w:hAnsi="宋体" w:cs="宋体"/>
                <w:sz w:val="24"/>
                <w:szCs w:val="24"/>
              </w:rPr>
            </w:pPr>
            <w:r>
              <w:rPr>
                <w:rFonts w:hint="eastAsia" w:ascii="宋体" w:hAnsi="宋体" w:cs="宋体"/>
                <w:sz w:val="24"/>
                <w:szCs w:val="24"/>
              </w:rPr>
              <w:t>电子邮箱</w:t>
            </w:r>
          </w:p>
        </w:tc>
        <w:tc>
          <w:tcPr>
            <w:tcW w:w="1166" w:type="pct"/>
            <w:tcBorders>
              <w:top w:val="single" w:color="auto" w:sz="2" w:space="0"/>
              <w:left w:val="single" w:color="auto" w:sz="2" w:space="0"/>
              <w:bottom w:val="single" w:color="auto" w:sz="2" w:space="0"/>
            </w:tcBorders>
            <w:vAlign w:val="center"/>
          </w:tcPr>
          <w:p w14:paraId="6EEA5E48">
            <w:pPr>
              <w:snapToGrid w:val="0"/>
              <w:spacing w:line="360" w:lineRule="auto"/>
              <w:jc w:val="center"/>
              <w:rPr>
                <w:rFonts w:hint="eastAsia" w:ascii="宋体" w:hAnsi="宋体" w:cs="宋体"/>
                <w:spacing w:val="20"/>
                <w:sz w:val="24"/>
                <w:szCs w:val="24"/>
              </w:rPr>
            </w:pPr>
          </w:p>
        </w:tc>
      </w:tr>
      <w:tr w14:paraId="1362F2D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AB484B4">
            <w:pPr>
              <w:snapToGrid w:val="0"/>
              <w:spacing w:line="360" w:lineRule="auto"/>
              <w:jc w:val="center"/>
              <w:rPr>
                <w:rFonts w:hint="eastAsia" w:ascii="宋体" w:hAnsi="宋体" w:cs="宋体"/>
                <w:sz w:val="24"/>
                <w:szCs w:val="24"/>
              </w:rPr>
            </w:pPr>
            <w:r>
              <w:rPr>
                <w:rFonts w:hint="eastAsia" w:ascii="宋体" w:hAnsi="宋体" w:cs="宋体"/>
                <w:sz w:val="24"/>
                <w:szCs w:val="24"/>
              </w:rPr>
              <w:t>统一社会信用代码</w:t>
            </w:r>
          </w:p>
        </w:tc>
        <w:tc>
          <w:tcPr>
            <w:tcW w:w="1109" w:type="pct"/>
            <w:tcBorders>
              <w:top w:val="single" w:color="auto" w:sz="2" w:space="0"/>
              <w:left w:val="single" w:color="auto" w:sz="2" w:space="0"/>
              <w:bottom w:val="single" w:color="auto" w:sz="2" w:space="0"/>
              <w:right w:val="single" w:color="auto" w:sz="2" w:space="0"/>
            </w:tcBorders>
            <w:vAlign w:val="center"/>
          </w:tcPr>
          <w:p w14:paraId="3A53BF83">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39E6E16D">
            <w:pPr>
              <w:snapToGrid w:val="0"/>
              <w:spacing w:line="360" w:lineRule="auto"/>
              <w:jc w:val="center"/>
              <w:rPr>
                <w:rFonts w:hint="eastAsia" w:ascii="宋体" w:hAnsi="宋体" w:cs="宋体"/>
                <w:sz w:val="24"/>
                <w:szCs w:val="24"/>
              </w:rPr>
            </w:pPr>
            <w:r>
              <w:rPr>
                <w:rFonts w:hint="eastAsia" w:ascii="宋体" w:hAnsi="宋体" w:cs="宋体"/>
                <w:sz w:val="24"/>
                <w:szCs w:val="24"/>
              </w:rPr>
              <w:t>统一社会信用代码</w:t>
            </w:r>
          </w:p>
        </w:tc>
        <w:tc>
          <w:tcPr>
            <w:tcW w:w="1166" w:type="pct"/>
            <w:tcBorders>
              <w:top w:val="single" w:color="auto" w:sz="2" w:space="0"/>
              <w:left w:val="single" w:color="auto" w:sz="2" w:space="0"/>
              <w:bottom w:val="single" w:color="auto" w:sz="2" w:space="0"/>
            </w:tcBorders>
            <w:vAlign w:val="center"/>
          </w:tcPr>
          <w:p w14:paraId="6962EE75">
            <w:pPr>
              <w:snapToGrid w:val="0"/>
              <w:spacing w:line="360" w:lineRule="auto"/>
              <w:jc w:val="center"/>
              <w:rPr>
                <w:rFonts w:hint="eastAsia" w:ascii="宋体" w:hAnsi="宋体" w:cs="宋体"/>
                <w:spacing w:val="20"/>
                <w:sz w:val="24"/>
                <w:szCs w:val="24"/>
              </w:rPr>
            </w:pPr>
          </w:p>
        </w:tc>
      </w:tr>
      <w:tr w14:paraId="67F7636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560C0BDC">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272FCF4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02F1D18">
            <w:pPr>
              <w:snapToGrid w:val="0"/>
              <w:spacing w:line="360" w:lineRule="auto"/>
              <w:jc w:val="center"/>
              <w:rPr>
                <w:rFonts w:hint="eastAsia" w:ascii="宋体" w:hAnsi="宋体" w:cs="宋体"/>
                <w:sz w:val="24"/>
                <w:szCs w:val="24"/>
              </w:rPr>
            </w:pPr>
            <w:r>
              <w:rPr>
                <w:rFonts w:hint="eastAsia" w:ascii="宋体" w:hAnsi="宋体" w:cs="宋体"/>
                <w:sz w:val="24"/>
                <w:szCs w:val="24"/>
              </w:rPr>
              <w:t>开户名称</w:t>
            </w:r>
          </w:p>
        </w:tc>
        <w:tc>
          <w:tcPr>
            <w:tcW w:w="1166" w:type="pct"/>
            <w:tcBorders>
              <w:top w:val="single" w:color="auto" w:sz="2" w:space="0"/>
              <w:left w:val="single" w:color="auto" w:sz="2" w:space="0"/>
              <w:bottom w:val="single" w:color="auto" w:sz="2" w:space="0"/>
            </w:tcBorders>
            <w:vAlign w:val="center"/>
          </w:tcPr>
          <w:p w14:paraId="5A7C272A">
            <w:pPr>
              <w:snapToGrid w:val="0"/>
              <w:spacing w:line="360" w:lineRule="auto"/>
              <w:jc w:val="center"/>
              <w:rPr>
                <w:rFonts w:hint="eastAsia" w:ascii="宋体" w:hAnsi="宋体" w:cs="宋体"/>
                <w:spacing w:val="20"/>
                <w:sz w:val="24"/>
                <w:szCs w:val="24"/>
              </w:rPr>
            </w:pPr>
          </w:p>
        </w:tc>
      </w:tr>
      <w:tr w14:paraId="7D36A5C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18AE3F64">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6FC29D4B">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18192868">
            <w:pPr>
              <w:snapToGrid w:val="0"/>
              <w:spacing w:line="360" w:lineRule="auto"/>
              <w:jc w:val="center"/>
              <w:rPr>
                <w:rFonts w:hint="eastAsia" w:ascii="宋体" w:hAnsi="宋体" w:cs="宋体"/>
                <w:sz w:val="24"/>
                <w:szCs w:val="24"/>
              </w:rPr>
            </w:pPr>
            <w:r>
              <w:rPr>
                <w:rFonts w:hint="eastAsia" w:ascii="宋体" w:hAnsi="宋体" w:cs="宋体"/>
                <w:sz w:val="24"/>
                <w:szCs w:val="24"/>
              </w:rPr>
              <w:t>开户银行</w:t>
            </w:r>
          </w:p>
        </w:tc>
        <w:tc>
          <w:tcPr>
            <w:tcW w:w="1166" w:type="pct"/>
            <w:tcBorders>
              <w:top w:val="single" w:color="auto" w:sz="2" w:space="0"/>
              <w:left w:val="single" w:color="auto" w:sz="2" w:space="0"/>
              <w:bottom w:val="single" w:color="auto" w:sz="2" w:space="0"/>
            </w:tcBorders>
            <w:vAlign w:val="center"/>
          </w:tcPr>
          <w:p w14:paraId="182FCF76">
            <w:pPr>
              <w:snapToGrid w:val="0"/>
              <w:spacing w:line="360" w:lineRule="auto"/>
              <w:jc w:val="center"/>
              <w:rPr>
                <w:rFonts w:hint="eastAsia" w:ascii="宋体" w:hAnsi="宋体" w:cs="宋体"/>
                <w:spacing w:val="20"/>
                <w:sz w:val="24"/>
                <w:szCs w:val="24"/>
              </w:rPr>
            </w:pPr>
          </w:p>
        </w:tc>
      </w:tr>
      <w:tr w14:paraId="2B28644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481A652">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6CD65D18">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6BE6298">
            <w:pPr>
              <w:snapToGrid w:val="0"/>
              <w:spacing w:line="360" w:lineRule="auto"/>
              <w:jc w:val="center"/>
              <w:rPr>
                <w:rFonts w:hint="eastAsia" w:ascii="宋体" w:hAnsi="宋体" w:cs="宋体"/>
                <w:sz w:val="24"/>
                <w:szCs w:val="24"/>
              </w:rPr>
            </w:pPr>
            <w:r>
              <w:rPr>
                <w:rFonts w:hint="eastAsia" w:ascii="宋体" w:hAnsi="宋体" w:cs="宋体"/>
                <w:sz w:val="24"/>
                <w:szCs w:val="24"/>
              </w:rPr>
              <w:t>银行账号</w:t>
            </w:r>
          </w:p>
        </w:tc>
        <w:tc>
          <w:tcPr>
            <w:tcW w:w="1166" w:type="pct"/>
            <w:tcBorders>
              <w:top w:val="single" w:color="auto" w:sz="2" w:space="0"/>
              <w:left w:val="single" w:color="auto" w:sz="2" w:space="0"/>
              <w:bottom w:val="single" w:color="auto" w:sz="2" w:space="0"/>
            </w:tcBorders>
            <w:vAlign w:val="center"/>
          </w:tcPr>
          <w:p w14:paraId="00D94B3F">
            <w:pPr>
              <w:snapToGrid w:val="0"/>
              <w:spacing w:line="360" w:lineRule="auto"/>
              <w:jc w:val="center"/>
              <w:rPr>
                <w:rFonts w:hint="eastAsia" w:ascii="宋体" w:hAnsi="宋体" w:cs="宋体"/>
                <w:spacing w:val="20"/>
                <w:sz w:val="24"/>
                <w:szCs w:val="24"/>
              </w:rPr>
            </w:pPr>
          </w:p>
        </w:tc>
      </w:tr>
      <w:tr w14:paraId="28963C1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5000" w:type="pct"/>
            <w:gridSpan w:val="4"/>
            <w:tcBorders>
              <w:top w:val="single" w:color="auto" w:sz="2" w:space="0"/>
            </w:tcBorders>
            <w:vAlign w:val="center"/>
          </w:tcPr>
          <w:p w14:paraId="479B36E8">
            <w:pPr>
              <w:pStyle w:val="17"/>
              <w:snapToGrid w:val="0"/>
              <w:spacing w:before="156" w:beforeLines="50" w:line="360" w:lineRule="auto"/>
              <w:ind w:left="3276" w:hanging="3276"/>
              <w:rPr>
                <w:rFonts w:hint="eastAsia" w:ascii="宋体" w:hAnsi="宋体" w:cs="宋体"/>
                <w:spacing w:val="20"/>
                <w:sz w:val="24"/>
                <w:szCs w:val="24"/>
              </w:rPr>
            </w:pPr>
            <w:r>
              <w:rPr>
                <w:rFonts w:hint="eastAsia" w:ascii="宋体" w:hAnsi="宋体" w:cs="宋体"/>
                <w:sz w:val="24"/>
                <w:szCs w:val="24"/>
              </w:rPr>
              <w:t>注：涉及联合体或其他合同主体的信息应按上表格式加列。</w:t>
            </w:r>
          </w:p>
        </w:tc>
      </w:tr>
    </w:tbl>
    <w:p w14:paraId="5AE37D29">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zh-CN" w:eastAsia="zh-CN"/>
        </w:rPr>
      </w:pPr>
    </w:p>
    <w:p w14:paraId="5BF66737">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zh-CN" w:eastAsia="zh-CN"/>
        </w:rPr>
      </w:pPr>
    </w:p>
    <w:p w14:paraId="04978B25">
      <w:pPr>
        <w:pStyle w:val="3"/>
        <w:tabs>
          <w:tab w:val="left" w:pos="1440"/>
          <w:tab w:val="left" w:pos="5670"/>
        </w:tabs>
        <w:spacing w:before="0" w:beforeAutospacing="0" w:after="0" w:afterAutospacing="0" w:line="480" w:lineRule="exact"/>
        <w:ind w:firstLine="0" w:firstLineChars="0"/>
        <w:jc w:val="both"/>
        <w:rPr>
          <w:rFonts w:hint="eastAsia" w:ascii="宋体" w:hAnsi="宋体" w:eastAsia="宋体" w:cs="宋体"/>
          <w:b/>
          <w:bCs/>
          <w:color w:val="auto"/>
          <w:kern w:val="2"/>
          <w:sz w:val="36"/>
          <w:szCs w:val="36"/>
          <w:highlight w:val="none"/>
          <w:lang w:val="zh-CN" w:eastAsia="zh-CN"/>
        </w:rPr>
      </w:pPr>
    </w:p>
    <w:p w14:paraId="263B4917">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zh-CN" w:eastAsia="zh-CN"/>
        </w:rPr>
      </w:pPr>
    </w:p>
    <w:p w14:paraId="3F5CA7C5">
      <w:pPr>
        <w:rPr>
          <w:rFonts w:hint="eastAsia" w:ascii="宋体" w:hAnsi="宋体" w:eastAsia="宋体" w:cs="宋体"/>
          <w:b/>
          <w:bCs/>
          <w:color w:val="auto"/>
          <w:kern w:val="2"/>
          <w:sz w:val="36"/>
          <w:szCs w:val="36"/>
          <w:highlight w:val="none"/>
          <w:lang w:val="zh-CN" w:eastAsia="zh-CN"/>
        </w:rPr>
      </w:pPr>
    </w:p>
    <w:p w14:paraId="0FCE5964">
      <w:pPr>
        <w:pStyle w:val="5"/>
        <w:rPr>
          <w:rFonts w:hint="eastAsia"/>
          <w:lang w:val="zh-CN" w:eastAsia="zh-CN"/>
        </w:rPr>
      </w:pPr>
    </w:p>
    <w:p w14:paraId="0032BF50">
      <w:pPr>
        <w:rPr>
          <w:rFonts w:hint="eastAsia"/>
          <w:lang w:val="zh-CN" w:eastAsia="zh-CN"/>
        </w:rPr>
      </w:pPr>
    </w:p>
    <w:bookmarkEnd w:id="58"/>
    <w:bookmarkEnd w:id="59"/>
    <w:bookmarkEnd w:id="60"/>
    <w:bookmarkEnd w:id="61"/>
    <w:p w14:paraId="1874D6E5">
      <w:pPr>
        <w:pStyle w:val="3"/>
        <w:tabs>
          <w:tab w:val="left" w:pos="1440"/>
          <w:tab w:val="left" w:pos="5670"/>
        </w:tabs>
        <w:spacing w:before="62" w:beforeLines="20" w:after="62" w:afterLines="20" w:line="480" w:lineRule="exact"/>
        <w:ind w:firstLine="0" w:firstLineChars="0"/>
        <w:jc w:val="center"/>
        <w:rPr>
          <w:rFonts w:ascii="Arial" w:hAnsi="Arial"/>
          <w:color w:val="auto"/>
          <w:kern w:val="2"/>
          <w:sz w:val="36"/>
          <w:szCs w:val="36"/>
          <w:highlight w:val="none"/>
        </w:rPr>
      </w:pPr>
      <w:r>
        <w:rPr>
          <w:rFonts w:hint="eastAsia" w:ascii="Arial" w:hAnsi="Arial"/>
          <w:color w:val="auto"/>
          <w:kern w:val="2"/>
          <w:sz w:val="36"/>
          <w:szCs w:val="36"/>
          <w:highlight w:val="none"/>
          <w:lang w:val="zh-CN"/>
        </w:rPr>
        <w:t>第</w:t>
      </w:r>
      <w:r>
        <w:rPr>
          <w:rFonts w:hint="eastAsia" w:ascii="Arial" w:hAnsi="Arial"/>
          <w:color w:val="auto"/>
          <w:kern w:val="2"/>
          <w:sz w:val="36"/>
          <w:szCs w:val="36"/>
          <w:highlight w:val="none"/>
          <w:lang w:val="en-US" w:eastAsia="zh-CN"/>
        </w:rPr>
        <w:t>六</w:t>
      </w:r>
      <w:r>
        <w:rPr>
          <w:rFonts w:hint="eastAsia" w:ascii="Arial" w:hAnsi="Arial"/>
          <w:color w:val="auto"/>
          <w:kern w:val="2"/>
          <w:sz w:val="36"/>
          <w:szCs w:val="36"/>
          <w:highlight w:val="none"/>
          <w:lang w:val="zh-CN"/>
        </w:rPr>
        <w:t>章</w:t>
      </w:r>
      <w:r>
        <w:rPr>
          <w:rFonts w:ascii="Arial" w:hAnsi="Arial"/>
          <w:color w:val="auto"/>
          <w:kern w:val="2"/>
          <w:sz w:val="36"/>
          <w:szCs w:val="36"/>
          <w:highlight w:val="none"/>
          <w:lang w:val="zh-CN"/>
        </w:rPr>
        <w:t xml:space="preserve">  </w:t>
      </w:r>
      <w:bookmarkStart w:id="66" w:name="_Toc417656001"/>
      <w:r>
        <w:rPr>
          <w:rFonts w:hint="eastAsia" w:ascii="Arial" w:hAnsi="Arial"/>
          <w:color w:val="auto"/>
          <w:kern w:val="2"/>
          <w:sz w:val="36"/>
          <w:szCs w:val="36"/>
          <w:highlight w:val="none"/>
        </w:rPr>
        <w:t>响应文件格式</w:t>
      </w:r>
      <w:bookmarkEnd w:id="66"/>
    </w:p>
    <w:p w14:paraId="5C7DFD15">
      <w:pPr>
        <w:spacing w:line="360" w:lineRule="auto"/>
        <w:jc w:val="center"/>
        <w:rPr>
          <w:rFonts w:ascii="仿宋" w:hAnsi="仿宋" w:eastAsia="仿宋"/>
          <w:b/>
          <w:color w:val="auto"/>
          <w:spacing w:val="20"/>
          <w:sz w:val="36"/>
          <w:szCs w:val="36"/>
          <w:highlight w:val="none"/>
          <w:u w:val="single"/>
        </w:rPr>
      </w:pPr>
    </w:p>
    <w:p w14:paraId="396E7173">
      <w:pPr>
        <w:spacing w:line="360" w:lineRule="auto"/>
        <w:jc w:val="center"/>
        <w:rPr>
          <w:rFonts w:hint="eastAsia" w:ascii="仿宋" w:hAnsi="仿宋" w:eastAsia="仿宋"/>
          <w:b/>
          <w:color w:val="auto"/>
          <w:spacing w:val="20"/>
          <w:sz w:val="36"/>
          <w:szCs w:val="36"/>
          <w:highlight w:val="none"/>
          <w:lang w:eastAsia="zh-CN"/>
        </w:rPr>
      </w:pPr>
      <w:r>
        <w:rPr>
          <w:rFonts w:ascii="仿宋" w:hAnsi="仿宋" w:eastAsia="仿宋"/>
          <w:b/>
          <w:color w:val="auto"/>
          <w:spacing w:val="20"/>
          <w:sz w:val="36"/>
          <w:szCs w:val="36"/>
          <w:highlight w:val="none"/>
          <w:u w:val="single"/>
        </w:rPr>
        <w:t xml:space="preserve">                              </w:t>
      </w:r>
      <w:r>
        <w:rPr>
          <w:rFonts w:hint="eastAsia" w:ascii="仿宋" w:hAnsi="仿宋" w:eastAsia="仿宋"/>
          <w:b/>
          <w:color w:val="auto"/>
          <w:spacing w:val="20"/>
          <w:sz w:val="36"/>
          <w:szCs w:val="36"/>
          <w:highlight w:val="none"/>
        </w:rPr>
        <w:t>项目</w:t>
      </w:r>
    </w:p>
    <w:p w14:paraId="2C26202F">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响</w:t>
      </w:r>
    </w:p>
    <w:p w14:paraId="0CF2D04E">
      <w:pPr>
        <w:spacing w:line="480" w:lineRule="auto"/>
        <w:jc w:val="center"/>
        <w:rPr>
          <w:rFonts w:ascii="宋体"/>
          <w:b/>
          <w:color w:val="auto"/>
          <w:sz w:val="72"/>
          <w:szCs w:val="72"/>
          <w:highlight w:val="none"/>
        </w:rPr>
      </w:pPr>
    </w:p>
    <w:p w14:paraId="61807914">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应</w:t>
      </w:r>
    </w:p>
    <w:p w14:paraId="4EA9083C">
      <w:pPr>
        <w:spacing w:line="480" w:lineRule="auto"/>
        <w:jc w:val="center"/>
        <w:rPr>
          <w:rFonts w:ascii="宋体"/>
          <w:b/>
          <w:color w:val="auto"/>
          <w:sz w:val="72"/>
          <w:szCs w:val="72"/>
          <w:highlight w:val="none"/>
        </w:rPr>
      </w:pPr>
    </w:p>
    <w:p w14:paraId="798E3F93">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文</w:t>
      </w:r>
    </w:p>
    <w:p w14:paraId="7DEECC14">
      <w:pPr>
        <w:spacing w:line="480" w:lineRule="auto"/>
        <w:jc w:val="center"/>
        <w:rPr>
          <w:rFonts w:ascii="宋体"/>
          <w:b/>
          <w:color w:val="auto"/>
          <w:sz w:val="72"/>
          <w:szCs w:val="72"/>
          <w:highlight w:val="none"/>
        </w:rPr>
      </w:pPr>
    </w:p>
    <w:p w14:paraId="5C3458A4">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3489A180">
      <w:pPr>
        <w:pStyle w:val="2"/>
        <w:ind w:left="0" w:leftChars="0" w:firstLine="0" w:firstLineChars="0"/>
        <w:rPr>
          <w:rFonts w:ascii="宋体"/>
          <w:color w:val="auto"/>
          <w:sz w:val="24"/>
          <w:highlight w:val="none"/>
        </w:rPr>
      </w:pPr>
    </w:p>
    <w:p w14:paraId="57069B46">
      <w:pPr>
        <w:spacing w:line="360" w:lineRule="auto"/>
        <w:rPr>
          <w:rFonts w:ascii="宋体"/>
          <w:color w:val="auto"/>
          <w:sz w:val="24"/>
          <w:highlight w:val="none"/>
        </w:rPr>
      </w:pPr>
    </w:p>
    <w:p w14:paraId="2673D75A">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02AD0D2">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406B8E0">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供</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应</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商：</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2F9DA3D">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bookmarkStart w:id="67" w:name="_Toc12430"/>
      <w:bookmarkStart w:id="68" w:name="_Toc12150"/>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rPr>
        <w:t>日</w:t>
      </w:r>
      <w:bookmarkEnd w:id="67"/>
      <w:bookmarkEnd w:id="68"/>
    </w:p>
    <w:p w14:paraId="0857E145">
      <w:pPr>
        <w:spacing w:line="480" w:lineRule="exact"/>
        <w:jc w:val="center"/>
        <w:rPr>
          <w:rFonts w:ascii="宋体" w:hAnsi="宋体"/>
          <w:b/>
          <w:color w:val="auto"/>
          <w:sz w:val="30"/>
          <w:szCs w:val="30"/>
          <w:highlight w:val="none"/>
        </w:rPr>
      </w:pPr>
    </w:p>
    <w:p w14:paraId="7879491F">
      <w:pPr>
        <w:spacing w:line="480" w:lineRule="exact"/>
        <w:rPr>
          <w:rFonts w:ascii="黑体" w:eastAsia="黑体"/>
          <w:b/>
          <w:bCs/>
          <w:color w:val="auto"/>
          <w:szCs w:val="21"/>
          <w:highlight w:val="none"/>
        </w:rPr>
      </w:pPr>
    </w:p>
    <w:p w14:paraId="0981710E">
      <w:pPr>
        <w:rPr>
          <w:color w:val="auto"/>
          <w:highlight w:val="none"/>
        </w:rPr>
      </w:pPr>
    </w:p>
    <w:p w14:paraId="174FF10F">
      <w:pPr>
        <w:spacing w:line="360" w:lineRule="auto"/>
        <w:jc w:val="center"/>
        <w:outlineLvl w:val="1"/>
        <w:rPr>
          <w:rFonts w:asciiTheme="minorEastAsia" w:hAnsiTheme="minorEastAsia" w:eastAsiaTheme="minorEastAsia"/>
          <w:b/>
          <w:color w:val="auto"/>
          <w:sz w:val="24"/>
          <w:highlight w:val="none"/>
        </w:rPr>
      </w:pPr>
      <w:bookmarkStart w:id="69" w:name="_Toc461056631"/>
      <w:bookmarkStart w:id="70" w:name="_Toc461053086"/>
      <w:bookmarkStart w:id="71" w:name="_Toc27513"/>
      <w:bookmarkStart w:id="72" w:name="_Toc23658"/>
      <w:bookmarkStart w:id="73" w:name="_Toc520983587"/>
      <w:r>
        <w:rPr>
          <w:rFonts w:hint="eastAsia" w:asciiTheme="minorEastAsia" w:hAnsiTheme="minorEastAsia" w:eastAsiaTheme="minorEastAsia"/>
          <w:b/>
          <w:color w:val="auto"/>
          <w:sz w:val="24"/>
          <w:highlight w:val="none"/>
        </w:rPr>
        <w:t>一</w:t>
      </w:r>
      <w:bookmarkEnd w:id="69"/>
      <w:bookmarkEnd w:id="70"/>
      <w:r>
        <w:rPr>
          <w:rFonts w:hint="eastAsia" w:asciiTheme="minorEastAsia" w:hAnsiTheme="minorEastAsia" w:eastAsiaTheme="minorEastAsia"/>
          <w:b/>
          <w:color w:val="auto"/>
          <w:sz w:val="24"/>
          <w:highlight w:val="none"/>
        </w:rPr>
        <w:t>、报价表格式</w:t>
      </w:r>
      <w:bookmarkEnd w:id="71"/>
      <w:bookmarkEnd w:id="72"/>
      <w:bookmarkEnd w:id="73"/>
    </w:p>
    <w:p w14:paraId="51F788D9">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1A1A22D3">
      <w:pPr>
        <w:snapToGrid w:val="0"/>
        <w:spacing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5CC2772F">
      <w:pPr>
        <w:snapToGrid w:val="0"/>
        <w:spacing w:after="156" w:afterLines="5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p w14:paraId="46194B5F">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default" w:ascii="宋体" w:hAnsi="宋体" w:eastAsia="宋体"/>
          <w:b/>
          <w:color w:val="auto"/>
          <w:sz w:val="24"/>
          <w:szCs w:val="28"/>
          <w:highlight w:val="none"/>
          <w:u w:val="single"/>
          <w:lang w:val="en-US" w:eastAsia="zh-CN"/>
        </w:rPr>
      </w:pPr>
      <w:r>
        <w:rPr>
          <w:rFonts w:hint="eastAsia" w:ascii="宋体" w:hAnsi="宋体"/>
          <w:b w:val="0"/>
          <w:bCs/>
          <w:color w:val="auto"/>
          <w:sz w:val="24"/>
          <w:szCs w:val="28"/>
          <w:highlight w:val="none"/>
          <w:u w:val="none"/>
          <w:lang w:val="en-US" w:eastAsia="zh-CN"/>
        </w:rPr>
        <w:t>单位：元/套</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0"/>
        <w:gridCol w:w="6286"/>
      </w:tblGrid>
      <w:tr w14:paraId="7D6C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916E1B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69C984D9">
            <w:pPr>
              <w:spacing w:line="360" w:lineRule="auto"/>
              <w:rPr>
                <w:rFonts w:ascii="宋体" w:hAnsi="宋体" w:eastAsia="宋体"/>
                <w:b/>
                <w:color w:val="auto"/>
                <w:sz w:val="24"/>
                <w:highlight w:val="none"/>
              </w:rPr>
            </w:pPr>
          </w:p>
        </w:tc>
      </w:tr>
      <w:tr w14:paraId="73780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FBAB695">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谈判范围</w:t>
            </w:r>
          </w:p>
        </w:tc>
        <w:tc>
          <w:tcPr>
            <w:tcW w:w="3557" w:type="pct"/>
            <w:tcBorders>
              <w:left w:val="single" w:color="auto" w:sz="4" w:space="0"/>
            </w:tcBorders>
            <w:vAlign w:val="center"/>
          </w:tcPr>
          <w:p w14:paraId="25425C20">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586D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12A48054">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4C122AED">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7F8815B0">
            <w:pPr>
              <w:snapToGrid w:val="0"/>
              <w:spacing w:line="360" w:lineRule="auto"/>
              <w:jc w:val="left"/>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rPr>
              <w:t xml:space="preserve">                     </w:t>
            </w:r>
          </w:p>
          <w:p w14:paraId="677B0388">
            <w:pPr>
              <w:snapToGrid w:val="0"/>
              <w:spacing w:line="360" w:lineRule="auto"/>
              <w:rPr>
                <w:rFonts w:ascii="宋体" w:hAnsi="宋体" w:eastAsia="宋体"/>
                <w:b/>
                <w:color w:val="auto"/>
                <w:sz w:val="24"/>
                <w:highlight w:val="none"/>
              </w:rPr>
            </w:pP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p>
        </w:tc>
      </w:tr>
      <w:tr w14:paraId="15EFE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7A15C328">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7AA541A1">
            <w:pPr>
              <w:spacing w:line="360" w:lineRule="auto"/>
              <w:rPr>
                <w:rFonts w:ascii="宋体" w:hAnsi="宋体" w:eastAsia="宋体"/>
                <w:b/>
                <w:color w:val="auto"/>
                <w:sz w:val="24"/>
                <w:highlight w:val="none"/>
              </w:rPr>
            </w:pPr>
          </w:p>
        </w:tc>
      </w:tr>
    </w:tbl>
    <w:p w14:paraId="3D3AAF7C">
      <w:pPr>
        <w:spacing w:line="440" w:lineRule="exact"/>
        <w:ind w:firstLine="5280" w:firstLineChars="22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供应商签章：</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rPr>
        <w:t xml:space="preserve">    </w:t>
      </w:r>
    </w:p>
    <w:p w14:paraId="5278782F">
      <w:pPr>
        <w:spacing w:line="440" w:lineRule="exact"/>
        <w:ind w:firstLine="5280" w:firstLineChars="22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期：</w:t>
      </w:r>
      <w:r>
        <w:rPr>
          <w:rFonts w:hint="eastAsia"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rPr>
        <w:t xml:space="preserve">     </w:t>
      </w:r>
    </w:p>
    <w:p w14:paraId="01560D85">
      <w:pPr>
        <w:adjustRightInd w:val="0"/>
        <w:snapToGrid w:val="0"/>
        <w:spacing w:line="360" w:lineRule="auto"/>
        <w:rPr>
          <w:rFonts w:ascii="宋体" w:hAnsi="宋体" w:eastAsia="宋体"/>
          <w:b/>
          <w:bCs/>
          <w:color w:val="auto"/>
          <w:sz w:val="24"/>
          <w:szCs w:val="28"/>
          <w:highlight w:val="none"/>
        </w:rPr>
      </w:pPr>
    </w:p>
    <w:p w14:paraId="4ED10F1E">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271C2E6A">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谈判文件要求包括了货物及其配套的设计、采购、制造、检测、试验、运输、保险、仓储、税费以及现场落地、安装及安装耗损、调试、培训、技术服务（包括技术资料、图纸的提供）质保期内的售后服务保障等所有费用。</w:t>
      </w:r>
    </w:p>
    <w:p w14:paraId="1FD272EB">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471E4D0C">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3.表中大写</w:t>
      </w:r>
      <w:r>
        <w:rPr>
          <w:rFonts w:hint="eastAsia" w:ascii="宋体" w:hAnsi="宋体"/>
          <w:b/>
          <w:bCs/>
          <w:color w:val="auto"/>
          <w:sz w:val="24"/>
          <w:szCs w:val="28"/>
          <w:highlight w:val="none"/>
          <w:lang w:val="en-US" w:eastAsia="zh-CN"/>
        </w:rPr>
        <w:t>金额</w:t>
      </w:r>
      <w:r>
        <w:rPr>
          <w:rFonts w:hint="eastAsia" w:ascii="宋体" w:hAnsi="宋体" w:eastAsia="宋体"/>
          <w:b/>
          <w:bCs/>
          <w:color w:val="auto"/>
          <w:sz w:val="24"/>
          <w:szCs w:val="28"/>
          <w:highlight w:val="none"/>
        </w:rPr>
        <w:t>与小写</w:t>
      </w:r>
      <w:r>
        <w:rPr>
          <w:rFonts w:hint="eastAsia" w:ascii="宋体" w:hAnsi="宋体"/>
          <w:b/>
          <w:bCs/>
          <w:color w:val="auto"/>
          <w:sz w:val="24"/>
          <w:szCs w:val="28"/>
          <w:highlight w:val="none"/>
          <w:lang w:val="en-US" w:eastAsia="zh-CN"/>
        </w:rPr>
        <w:t>金额</w:t>
      </w:r>
      <w:r>
        <w:rPr>
          <w:rFonts w:hint="eastAsia" w:ascii="宋体" w:hAnsi="宋体" w:eastAsia="宋体"/>
          <w:b/>
          <w:bCs/>
          <w:color w:val="auto"/>
          <w:sz w:val="24"/>
          <w:szCs w:val="28"/>
          <w:highlight w:val="none"/>
        </w:rPr>
        <w:t>不一致的，以大写</w:t>
      </w:r>
      <w:r>
        <w:rPr>
          <w:rFonts w:hint="eastAsia" w:ascii="宋体" w:hAnsi="宋体"/>
          <w:b/>
          <w:bCs/>
          <w:color w:val="auto"/>
          <w:sz w:val="24"/>
          <w:szCs w:val="28"/>
          <w:highlight w:val="none"/>
          <w:lang w:val="en-US" w:eastAsia="zh-CN"/>
        </w:rPr>
        <w:t>金额</w:t>
      </w:r>
      <w:r>
        <w:rPr>
          <w:rFonts w:hint="eastAsia" w:ascii="宋体" w:hAnsi="宋体" w:eastAsia="宋体"/>
          <w:b/>
          <w:bCs/>
          <w:color w:val="auto"/>
          <w:sz w:val="24"/>
          <w:szCs w:val="28"/>
          <w:highlight w:val="none"/>
        </w:rPr>
        <w:t>为准。</w:t>
      </w:r>
    </w:p>
    <w:p w14:paraId="3206C6C5">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5DA14137">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1-2 分项报价明细表</w:t>
      </w:r>
    </w:p>
    <w:tbl>
      <w:tblPr>
        <w:tblStyle w:val="41"/>
        <w:tblW w:w="53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1869"/>
        <w:gridCol w:w="1647"/>
        <w:gridCol w:w="1647"/>
        <w:gridCol w:w="975"/>
        <w:gridCol w:w="971"/>
        <w:gridCol w:w="1511"/>
      </w:tblGrid>
      <w:tr w14:paraId="5F060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9" w:hRule="atLeast"/>
          <w:jc w:val="center"/>
        </w:trPr>
        <w:tc>
          <w:tcPr>
            <w:tcW w:w="470" w:type="pct"/>
            <w:noWrap w:val="0"/>
            <w:vAlign w:val="center"/>
          </w:tcPr>
          <w:p w14:paraId="71471830">
            <w:pPr>
              <w:pStyle w:val="145"/>
              <w:widowControl w:val="0"/>
              <w:spacing w:before="0" w:beforeAutospacing="0" w:after="0" w:afterAutospacing="0"/>
              <w:rPr>
                <w:rFonts w:ascii="宋体" w:hAnsi="宋体" w:eastAsia="宋体"/>
                <w:bCs w:val="0"/>
                <w:kern w:val="2"/>
                <w:sz w:val="24"/>
                <w:szCs w:val="20"/>
                <w:highlight w:val="none"/>
              </w:rPr>
            </w:pPr>
            <w:bookmarkStart w:id="74" w:name="_Toc461056632"/>
            <w:bookmarkStart w:id="75" w:name="_Toc461053087"/>
            <w:bookmarkStart w:id="76" w:name="_Toc520983588"/>
            <w:r>
              <w:rPr>
                <w:rFonts w:hint="eastAsia" w:ascii="宋体" w:hAnsi="宋体" w:eastAsia="宋体"/>
                <w:bCs w:val="0"/>
                <w:kern w:val="2"/>
                <w:sz w:val="24"/>
                <w:szCs w:val="20"/>
                <w:highlight w:val="none"/>
              </w:rPr>
              <w:t>序号</w:t>
            </w:r>
          </w:p>
        </w:tc>
        <w:tc>
          <w:tcPr>
            <w:tcW w:w="982" w:type="pct"/>
            <w:noWrap w:val="0"/>
            <w:vAlign w:val="center"/>
          </w:tcPr>
          <w:p w14:paraId="204DC221">
            <w:pPr>
              <w:jc w:val="center"/>
              <w:rPr>
                <w:rFonts w:ascii="宋体" w:hAnsi="宋体" w:eastAsia="宋体"/>
                <w:b/>
                <w:sz w:val="24"/>
                <w:highlight w:val="none"/>
              </w:rPr>
            </w:pPr>
            <w:r>
              <w:rPr>
                <w:rFonts w:hint="eastAsia" w:ascii="宋体" w:hAnsi="宋体" w:eastAsia="宋体"/>
                <w:b/>
                <w:sz w:val="24"/>
                <w:highlight w:val="none"/>
              </w:rPr>
              <w:t>货物名称</w:t>
            </w:r>
          </w:p>
        </w:tc>
        <w:tc>
          <w:tcPr>
            <w:tcW w:w="865" w:type="pct"/>
            <w:noWrap w:val="0"/>
            <w:vAlign w:val="center"/>
          </w:tcPr>
          <w:p w14:paraId="2BF393EC">
            <w:pPr>
              <w:jc w:val="center"/>
              <w:rPr>
                <w:rFonts w:hint="eastAsia" w:ascii="宋体" w:hAnsi="宋体" w:eastAsia="宋体"/>
                <w:b/>
                <w:sz w:val="24"/>
                <w:highlight w:val="none"/>
              </w:rPr>
            </w:pPr>
            <w:r>
              <w:rPr>
                <w:rFonts w:hint="eastAsia" w:ascii="宋体" w:hAnsi="宋体" w:eastAsia="宋体"/>
                <w:b/>
                <w:sz w:val="24"/>
                <w:highlight w:val="none"/>
              </w:rPr>
              <w:t>品牌、</w:t>
            </w:r>
          </w:p>
          <w:p w14:paraId="01315287">
            <w:pPr>
              <w:jc w:val="center"/>
              <w:rPr>
                <w:rFonts w:ascii="宋体" w:hAnsi="宋体" w:eastAsia="宋体"/>
                <w:b/>
                <w:sz w:val="24"/>
                <w:highlight w:val="none"/>
              </w:rPr>
            </w:pPr>
            <w:r>
              <w:rPr>
                <w:rFonts w:hint="eastAsia" w:ascii="宋体" w:hAnsi="宋体" w:eastAsia="宋体"/>
                <w:b/>
                <w:sz w:val="24"/>
                <w:highlight w:val="none"/>
              </w:rPr>
              <w:t>型号规格</w:t>
            </w:r>
          </w:p>
        </w:tc>
        <w:tc>
          <w:tcPr>
            <w:tcW w:w="865" w:type="pct"/>
            <w:noWrap w:val="0"/>
            <w:vAlign w:val="center"/>
          </w:tcPr>
          <w:p w14:paraId="5C660A03">
            <w:pPr>
              <w:jc w:val="center"/>
              <w:rPr>
                <w:rFonts w:ascii="宋体" w:hAnsi="宋体" w:eastAsia="宋体"/>
                <w:b/>
                <w:sz w:val="24"/>
                <w:highlight w:val="none"/>
              </w:rPr>
            </w:pPr>
            <w:r>
              <w:rPr>
                <w:rFonts w:hint="eastAsia" w:ascii="宋体" w:hAnsi="宋体" w:eastAsia="宋体"/>
                <w:b/>
                <w:sz w:val="24"/>
                <w:highlight w:val="none"/>
              </w:rPr>
              <w:t>原产地及</w:t>
            </w:r>
          </w:p>
          <w:p w14:paraId="0422D5ED">
            <w:pPr>
              <w:jc w:val="center"/>
              <w:rPr>
                <w:rFonts w:ascii="宋体" w:hAnsi="宋体" w:eastAsia="宋体"/>
                <w:b/>
                <w:sz w:val="24"/>
                <w:highlight w:val="none"/>
              </w:rPr>
            </w:pPr>
            <w:r>
              <w:rPr>
                <w:rFonts w:hint="eastAsia" w:ascii="宋体" w:hAnsi="宋体" w:eastAsia="宋体"/>
                <w:b/>
                <w:sz w:val="24"/>
                <w:highlight w:val="none"/>
              </w:rPr>
              <w:t>生产厂商</w:t>
            </w:r>
          </w:p>
        </w:tc>
        <w:tc>
          <w:tcPr>
            <w:tcW w:w="512" w:type="pct"/>
            <w:noWrap w:val="0"/>
            <w:vAlign w:val="center"/>
          </w:tcPr>
          <w:p w14:paraId="2CB1E19C">
            <w:pPr>
              <w:jc w:val="center"/>
              <w:rPr>
                <w:rFonts w:ascii="宋体" w:hAnsi="宋体" w:eastAsia="宋体"/>
                <w:b/>
                <w:sz w:val="24"/>
                <w:highlight w:val="none"/>
              </w:rPr>
            </w:pPr>
            <w:r>
              <w:rPr>
                <w:rFonts w:hint="eastAsia" w:ascii="宋体" w:hAnsi="宋体" w:eastAsia="宋体"/>
                <w:b/>
                <w:sz w:val="24"/>
                <w:highlight w:val="none"/>
              </w:rPr>
              <w:t>单位</w:t>
            </w:r>
          </w:p>
        </w:tc>
        <w:tc>
          <w:tcPr>
            <w:tcW w:w="510" w:type="pct"/>
            <w:noWrap w:val="0"/>
            <w:vAlign w:val="center"/>
          </w:tcPr>
          <w:p w14:paraId="303A1E1B">
            <w:pPr>
              <w:jc w:val="center"/>
              <w:rPr>
                <w:rFonts w:hint="eastAsia" w:ascii="宋体" w:hAnsi="宋体" w:eastAsia="宋体"/>
                <w:b/>
                <w:sz w:val="24"/>
                <w:highlight w:val="none"/>
                <w:lang w:eastAsia="zh-CN"/>
              </w:rPr>
            </w:pPr>
            <w:r>
              <w:rPr>
                <w:rFonts w:hint="eastAsia" w:ascii="宋体" w:hAnsi="宋体" w:eastAsia="宋体"/>
                <w:b/>
                <w:sz w:val="24"/>
                <w:highlight w:val="none"/>
                <w:lang w:val="en-US" w:eastAsia="zh-CN"/>
              </w:rPr>
              <w:t>单价</w:t>
            </w:r>
          </w:p>
        </w:tc>
        <w:tc>
          <w:tcPr>
            <w:tcW w:w="793" w:type="pct"/>
            <w:noWrap w:val="0"/>
            <w:vAlign w:val="center"/>
          </w:tcPr>
          <w:p w14:paraId="3E18B2C7">
            <w:pPr>
              <w:jc w:val="center"/>
              <w:rPr>
                <w:rFonts w:hint="default" w:ascii="宋体" w:hAnsi="宋体" w:eastAsia="宋体"/>
                <w:b/>
                <w:sz w:val="24"/>
                <w:highlight w:val="none"/>
                <w:lang w:val="en-US" w:eastAsia="zh-CN"/>
              </w:rPr>
            </w:pPr>
            <w:r>
              <w:rPr>
                <w:rFonts w:hint="eastAsia" w:ascii="宋体" w:hAnsi="宋体"/>
                <w:b/>
                <w:sz w:val="24"/>
                <w:highlight w:val="none"/>
                <w:lang w:val="en-US" w:eastAsia="zh-CN"/>
              </w:rPr>
              <w:t>合价</w:t>
            </w:r>
          </w:p>
        </w:tc>
      </w:tr>
      <w:tr w14:paraId="6AC5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4" w:hRule="atLeast"/>
          <w:jc w:val="center"/>
        </w:trPr>
        <w:tc>
          <w:tcPr>
            <w:tcW w:w="470" w:type="pct"/>
            <w:tcBorders>
              <w:bottom w:val="single" w:color="auto" w:sz="4" w:space="0"/>
            </w:tcBorders>
            <w:noWrap w:val="0"/>
            <w:vAlign w:val="center"/>
          </w:tcPr>
          <w:p w14:paraId="72E47BF1">
            <w:pPr>
              <w:jc w:val="center"/>
              <w:rPr>
                <w:rFonts w:ascii="宋体" w:hAnsi="宋体" w:eastAsia="宋体"/>
                <w:sz w:val="24"/>
                <w:highlight w:val="none"/>
              </w:rPr>
            </w:pPr>
            <w:r>
              <w:rPr>
                <w:rFonts w:hint="eastAsia" w:ascii="宋体" w:hAnsi="宋体" w:eastAsia="宋体"/>
                <w:sz w:val="24"/>
                <w:highlight w:val="none"/>
              </w:rPr>
              <w:t>1</w:t>
            </w:r>
          </w:p>
        </w:tc>
        <w:tc>
          <w:tcPr>
            <w:tcW w:w="982" w:type="pct"/>
            <w:noWrap w:val="0"/>
            <w:vAlign w:val="center"/>
          </w:tcPr>
          <w:p w14:paraId="22481D96">
            <w:pPr>
              <w:jc w:val="center"/>
              <w:rPr>
                <w:rFonts w:ascii="宋体" w:hAnsi="宋体" w:eastAsia="宋体"/>
                <w:sz w:val="24"/>
                <w:highlight w:val="none"/>
              </w:rPr>
            </w:pPr>
          </w:p>
        </w:tc>
        <w:tc>
          <w:tcPr>
            <w:tcW w:w="865" w:type="pct"/>
            <w:noWrap w:val="0"/>
            <w:vAlign w:val="center"/>
          </w:tcPr>
          <w:p w14:paraId="382C01B8">
            <w:pPr>
              <w:jc w:val="center"/>
              <w:rPr>
                <w:rFonts w:ascii="宋体" w:hAnsi="宋体" w:eastAsia="宋体"/>
                <w:sz w:val="24"/>
                <w:highlight w:val="none"/>
              </w:rPr>
            </w:pPr>
          </w:p>
        </w:tc>
        <w:tc>
          <w:tcPr>
            <w:tcW w:w="865" w:type="pct"/>
            <w:noWrap w:val="0"/>
            <w:vAlign w:val="center"/>
          </w:tcPr>
          <w:p w14:paraId="79C378F5">
            <w:pPr>
              <w:jc w:val="center"/>
              <w:rPr>
                <w:rFonts w:ascii="宋体" w:hAnsi="宋体" w:eastAsia="宋体"/>
                <w:sz w:val="24"/>
                <w:highlight w:val="none"/>
              </w:rPr>
            </w:pPr>
          </w:p>
        </w:tc>
        <w:tc>
          <w:tcPr>
            <w:tcW w:w="512" w:type="pct"/>
            <w:noWrap w:val="0"/>
            <w:vAlign w:val="center"/>
          </w:tcPr>
          <w:p w14:paraId="07B7F083">
            <w:pPr>
              <w:jc w:val="center"/>
              <w:rPr>
                <w:rFonts w:hint="eastAsia" w:ascii="宋体" w:hAnsi="宋体" w:eastAsia="宋体"/>
                <w:sz w:val="24"/>
                <w:highlight w:val="none"/>
                <w:lang w:val="en-US" w:eastAsia="zh-CN"/>
              </w:rPr>
            </w:pPr>
          </w:p>
        </w:tc>
        <w:tc>
          <w:tcPr>
            <w:tcW w:w="510" w:type="pct"/>
            <w:noWrap w:val="0"/>
            <w:vAlign w:val="center"/>
          </w:tcPr>
          <w:p w14:paraId="16E9F997">
            <w:pPr>
              <w:jc w:val="center"/>
              <w:rPr>
                <w:rFonts w:hint="default" w:ascii="宋体" w:hAnsi="宋体" w:eastAsia="宋体"/>
                <w:sz w:val="24"/>
                <w:highlight w:val="none"/>
                <w:lang w:val="en-US" w:eastAsia="zh-CN"/>
              </w:rPr>
            </w:pPr>
          </w:p>
        </w:tc>
        <w:tc>
          <w:tcPr>
            <w:tcW w:w="793" w:type="pct"/>
            <w:noWrap w:val="0"/>
            <w:vAlign w:val="center"/>
          </w:tcPr>
          <w:p w14:paraId="27694736">
            <w:pPr>
              <w:jc w:val="center"/>
              <w:rPr>
                <w:rFonts w:ascii="宋体" w:hAnsi="宋体" w:eastAsia="宋体"/>
                <w:sz w:val="24"/>
                <w:highlight w:val="none"/>
              </w:rPr>
            </w:pPr>
          </w:p>
        </w:tc>
      </w:tr>
      <w:tr w14:paraId="4905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9" w:hRule="atLeast"/>
          <w:jc w:val="center"/>
        </w:trPr>
        <w:tc>
          <w:tcPr>
            <w:tcW w:w="470" w:type="pct"/>
            <w:noWrap w:val="0"/>
            <w:vAlign w:val="center"/>
          </w:tcPr>
          <w:p w14:paraId="659D5766">
            <w:pPr>
              <w:jc w:val="center"/>
              <w:rPr>
                <w:rFonts w:ascii="宋体" w:hAnsi="宋体" w:eastAsia="宋体"/>
                <w:sz w:val="24"/>
                <w:highlight w:val="none"/>
              </w:rPr>
            </w:pPr>
            <w:r>
              <w:rPr>
                <w:rFonts w:hint="eastAsia" w:ascii="宋体" w:hAnsi="宋体" w:eastAsia="宋体"/>
                <w:sz w:val="24"/>
                <w:highlight w:val="none"/>
              </w:rPr>
              <w:t>2</w:t>
            </w:r>
          </w:p>
        </w:tc>
        <w:tc>
          <w:tcPr>
            <w:tcW w:w="982" w:type="pct"/>
            <w:noWrap w:val="0"/>
            <w:vAlign w:val="center"/>
          </w:tcPr>
          <w:p w14:paraId="376FE10E">
            <w:pPr>
              <w:jc w:val="center"/>
              <w:rPr>
                <w:rFonts w:ascii="宋体" w:hAnsi="宋体" w:eastAsia="宋体"/>
                <w:sz w:val="24"/>
                <w:highlight w:val="none"/>
              </w:rPr>
            </w:pPr>
          </w:p>
        </w:tc>
        <w:tc>
          <w:tcPr>
            <w:tcW w:w="865" w:type="pct"/>
            <w:noWrap w:val="0"/>
            <w:vAlign w:val="center"/>
          </w:tcPr>
          <w:p w14:paraId="2A70DDA8">
            <w:pPr>
              <w:jc w:val="center"/>
              <w:rPr>
                <w:rFonts w:ascii="宋体" w:hAnsi="宋体" w:eastAsia="宋体"/>
                <w:sz w:val="24"/>
                <w:highlight w:val="none"/>
              </w:rPr>
            </w:pPr>
          </w:p>
        </w:tc>
        <w:tc>
          <w:tcPr>
            <w:tcW w:w="865" w:type="pct"/>
            <w:noWrap w:val="0"/>
            <w:vAlign w:val="center"/>
          </w:tcPr>
          <w:p w14:paraId="14E3A40C">
            <w:pPr>
              <w:jc w:val="center"/>
              <w:rPr>
                <w:rFonts w:ascii="宋体" w:hAnsi="宋体" w:eastAsia="宋体"/>
                <w:sz w:val="24"/>
                <w:highlight w:val="none"/>
              </w:rPr>
            </w:pPr>
          </w:p>
        </w:tc>
        <w:tc>
          <w:tcPr>
            <w:tcW w:w="512" w:type="pct"/>
            <w:noWrap w:val="0"/>
            <w:vAlign w:val="center"/>
          </w:tcPr>
          <w:p w14:paraId="662EEA2C">
            <w:pPr>
              <w:jc w:val="center"/>
              <w:rPr>
                <w:rFonts w:hint="eastAsia" w:ascii="宋体" w:hAnsi="宋体" w:eastAsia="宋体"/>
                <w:sz w:val="24"/>
                <w:highlight w:val="none"/>
                <w:lang w:val="en-US" w:eastAsia="zh-CN"/>
              </w:rPr>
            </w:pPr>
          </w:p>
        </w:tc>
        <w:tc>
          <w:tcPr>
            <w:tcW w:w="510" w:type="pct"/>
            <w:noWrap w:val="0"/>
            <w:vAlign w:val="center"/>
          </w:tcPr>
          <w:p w14:paraId="4AF187AB">
            <w:pPr>
              <w:jc w:val="center"/>
              <w:rPr>
                <w:rFonts w:hint="default" w:ascii="宋体" w:hAnsi="宋体" w:eastAsia="宋体"/>
                <w:sz w:val="24"/>
                <w:highlight w:val="none"/>
                <w:lang w:val="en-US" w:eastAsia="zh-CN"/>
              </w:rPr>
            </w:pPr>
          </w:p>
        </w:tc>
        <w:tc>
          <w:tcPr>
            <w:tcW w:w="793" w:type="pct"/>
            <w:noWrap w:val="0"/>
            <w:vAlign w:val="center"/>
          </w:tcPr>
          <w:p w14:paraId="70676390">
            <w:pPr>
              <w:jc w:val="center"/>
              <w:rPr>
                <w:rFonts w:ascii="宋体" w:hAnsi="宋体" w:eastAsia="宋体"/>
                <w:sz w:val="24"/>
                <w:highlight w:val="none"/>
              </w:rPr>
            </w:pPr>
          </w:p>
        </w:tc>
      </w:tr>
      <w:tr w14:paraId="1756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9" w:hRule="atLeast"/>
          <w:jc w:val="center"/>
        </w:trPr>
        <w:tc>
          <w:tcPr>
            <w:tcW w:w="470" w:type="pct"/>
            <w:noWrap w:val="0"/>
            <w:vAlign w:val="center"/>
          </w:tcPr>
          <w:p w14:paraId="2BC13BCB">
            <w:pPr>
              <w:jc w:val="center"/>
              <w:rPr>
                <w:rFonts w:hint="eastAsia" w:ascii="宋体" w:hAnsi="宋体" w:eastAsia="宋体"/>
                <w:sz w:val="24"/>
                <w:highlight w:val="none"/>
                <w:lang w:val="en-US" w:eastAsia="zh-CN"/>
              </w:rPr>
            </w:pPr>
            <w:r>
              <w:rPr>
                <w:rFonts w:hint="eastAsia" w:ascii="宋体" w:hAnsi="宋体"/>
                <w:sz w:val="24"/>
                <w:highlight w:val="none"/>
                <w:lang w:val="en-US" w:eastAsia="zh-CN"/>
              </w:rPr>
              <w:t>3</w:t>
            </w:r>
          </w:p>
        </w:tc>
        <w:tc>
          <w:tcPr>
            <w:tcW w:w="982" w:type="pct"/>
            <w:noWrap w:val="0"/>
            <w:vAlign w:val="center"/>
          </w:tcPr>
          <w:p w14:paraId="76D13909">
            <w:pPr>
              <w:jc w:val="center"/>
              <w:rPr>
                <w:rFonts w:ascii="宋体" w:hAnsi="宋体" w:eastAsia="宋体"/>
                <w:sz w:val="24"/>
                <w:highlight w:val="none"/>
              </w:rPr>
            </w:pPr>
          </w:p>
        </w:tc>
        <w:tc>
          <w:tcPr>
            <w:tcW w:w="865" w:type="pct"/>
            <w:noWrap w:val="0"/>
            <w:vAlign w:val="center"/>
          </w:tcPr>
          <w:p w14:paraId="08827B32">
            <w:pPr>
              <w:jc w:val="center"/>
              <w:rPr>
                <w:rFonts w:ascii="宋体" w:hAnsi="宋体" w:eastAsia="宋体"/>
                <w:sz w:val="24"/>
                <w:highlight w:val="none"/>
              </w:rPr>
            </w:pPr>
          </w:p>
        </w:tc>
        <w:tc>
          <w:tcPr>
            <w:tcW w:w="865" w:type="pct"/>
            <w:noWrap w:val="0"/>
            <w:vAlign w:val="center"/>
          </w:tcPr>
          <w:p w14:paraId="306703AF">
            <w:pPr>
              <w:jc w:val="center"/>
              <w:rPr>
                <w:rFonts w:ascii="宋体" w:hAnsi="宋体" w:eastAsia="宋体"/>
                <w:sz w:val="24"/>
                <w:highlight w:val="none"/>
              </w:rPr>
            </w:pPr>
          </w:p>
        </w:tc>
        <w:tc>
          <w:tcPr>
            <w:tcW w:w="512" w:type="pct"/>
            <w:noWrap w:val="0"/>
            <w:vAlign w:val="center"/>
          </w:tcPr>
          <w:p w14:paraId="175B2A1B">
            <w:pPr>
              <w:jc w:val="center"/>
              <w:rPr>
                <w:rFonts w:hint="eastAsia" w:ascii="宋体" w:hAnsi="宋体" w:eastAsia="宋体"/>
                <w:sz w:val="24"/>
                <w:highlight w:val="none"/>
                <w:lang w:val="en-US" w:eastAsia="zh-CN"/>
              </w:rPr>
            </w:pPr>
          </w:p>
        </w:tc>
        <w:tc>
          <w:tcPr>
            <w:tcW w:w="510" w:type="pct"/>
            <w:noWrap w:val="0"/>
            <w:vAlign w:val="center"/>
          </w:tcPr>
          <w:p w14:paraId="0DD88B42">
            <w:pPr>
              <w:jc w:val="center"/>
              <w:rPr>
                <w:rFonts w:hint="default" w:ascii="宋体" w:hAnsi="宋体" w:eastAsia="宋体"/>
                <w:sz w:val="24"/>
                <w:highlight w:val="none"/>
                <w:lang w:val="en-US" w:eastAsia="zh-CN"/>
              </w:rPr>
            </w:pPr>
          </w:p>
        </w:tc>
        <w:tc>
          <w:tcPr>
            <w:tcW w:w="793" w:type="pct"/>
            <w:noWrap w:val="0"/>
            <w:vAlign w:val="center"/>
          </w:tcPr>
          <w:p w14:paraId="5C95C52F">
            <w:pPr>
              <w:jc w:val="center"/>
              <w:rPr>
                <w:rFonts w:ascii="宋体" w:hAnsi="宋体" w:eastAsia="宋体"/>
                <w:sz w:val="24"/>
                <w:highlight w:val="none"/>
              </w:rPr>
            </w:pPr>
          </w:p>
        </w:tc>
      </w:tr>
      <w:tr w14:paraId="29F1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9" w:hRule="atLeast"/>
          <w:jc w:val="center"/>
        </w:trPr>
        <w:tc>
          <w:tcPr>
            <w:tcW w:w="470" w:type="pct"/>
            <w:noWrap w:val="0"/>
            <w:vAlign w:val="center"/>
          </w:tcPr>
          <w:p w14:paraId="45E1C235">
            <w:pPr>
              <w:jc w:val="center"/>
              <w:rPr>
                <w:rFonts w:hint="default" w:ascii="宋体" w:hAnsi="宋体" w:eastAsia="宋体"/>
                <w:sz w:val="24"/>
                <w:highlight w:val="none"/>
                <w:lang w:val="en-US" w:eastAsia="zh-CN"/>
              </w:rPr>
            </w:pPr>
            <w:r>
              <w:rPr>
                <w:rFonts w:hint="eastAsia" w:ascii="宋体" w:hAnsi="宋体"/>
                <w:sz w:val="24"/>
                <w:highlight w:val="none"/>
                <w:lang w:val="en-US" w:eastAsia="zh-CN"/>
              </w:rPr>
              <w:t>...</w:t>
            </w:r>
          </w:p>
        </w:tc>
        <w:tc>
          <w:tcPr>
            <w:tcW w:w="982" w:type="pct"/>
            <w:noWrap w:val="0"/>
            <w:vAlign w:val="center"/>
          </w:tcPr>
          <w:p w14:paraId="23518869">
            <w:pPr>
              <w:jc w:val="center"/>
              <w:rPr>
                <w:rFonts w:ascii="宋体" w:hAnsi="宋体" w:eastAsia="宋体"/>
                <w:sz w:val="24"/>
                <w:highlight w:val="none"/>
              </w:rPr>
            </w:pPr>
          </w:p>
        </w:tc>
        <w:tc>
          <w:tcPr>
            <w:tcW w:w="865" w:type="pct"/>
            <w:noWrap w:val="0"/>
            <w:vAlign w:val="center"/>
          </w:tcPr>
          <w:p w14:paraId="03715975">
            <w:pPr>
              <w:jc w:val="center"/>
              <w:rPr>
                <w:rFonts w:ascii="宋体" w:hAnsi="宋体" w:eastAsia="宋体"/>
                <w:sz w:val="24"/>
                <w:highlight w:val="none"/>
              </w:rPr>
            </w:pPr>
          </w:p>
        </w:tc>
        <w:tc>
          <w:tcPr>
            <w:tcW w:w="865" w:type="pct"/>
            <w:noWrap w:val="0"/>
            <w:vAlign w:val="center"/>
          </w:tcPr>
          <w:p w14:paraId="5CC2DDB4">
            <w:pPr>
              <w:jc w:val="center"/>
              <w:rPr>
                <w:rFonts w:ascii="宋体" w:hAnsi="宋体" w:eastAsia="宋体"/>
                <w:sz w:val="24"/>
                <w:highlight w:val="none"/>
              </w:rPr>
            </w:pPr>
          </w:p>
        </w:tc>
        <w:tc>
          <w:tcPr>
            <w:tcW w:w="512" w:type="pct"/>
            <w:noWrap w:val="0"/>
            <w:vAlign w:val="center"/>
          </w:tcPr>
          <w:p w14:paraId="33EB7BBD">
            <w:pPr>
              <w:jc w:val="center"/>
              <w:rPr>
                <w:rFonts w:hint="eastAsia" w:ascii="宋体" w:hAnsi="宋体" w:eastAsia="宋体"/>
                <w:sz w:val="24"/>
                <w:highlight w:val="none"/>
                <w:lang w:val="en-US" w:eastAsia="zh-CN"/>
              </w:rPr>
            </w:pPr>
          </w:p>
        </w:tc>
        <w:tc>
          <w:tcPr>
            <w:tcW w:w="510" w:type="pct"/>
            <w:noWrap w:val="0"/>
            <w:vAlign w:val="center"/>
          </w:tcPr>
          <w:p w14:paraId="1984638E">
            <w:pPr>
              <w:jc w:val="center"/>
              <w:rPr>
                <w:rFonts w:hint="default" w:ascii="宋体" w:hAnsi="宋体" w:eastAsia="宋体"/>
                <w:sz w:val="24"/>
                <w:highlight w:val="none"/>
                <w:lang w:val="en-US" w:eastAsia="zh-CN"/>
              </w:rPr>
            </w:pPr>
          </w:p>
        </w:tc>
        <w:tc>
          <w:tcPr>
            <w:tcW w:w="793" w:type="pct"/>
            <w:noWrap w:val="0"/>
            <w:vAlign w:val="center"/>
          </w:tcPr>
          <w:p w14:paraId="3D60CB05">
            <w:pPr>
              <w:jc w:val="center"/>
              <w:rPr>
                <w:rFonts w:ascii="宋体" w:hAnsi="宋体" w:eastAsia="宋体"/>
                <w:sz w:val="24"/>
                <w:highlight w:val="none"/>
              </w:rPr>
            </w:pPr>
          </w:p>
        </w:tc>
      </w:tr>
      <w:tr w14:paraId="4FD1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9" w:hRule="atLeast"/>
          <w:jc w:val="center"/>
        </w:trPr>
        <w:tc>
          <w:tcPr>
            <w:tcW w:w="4206" w:type="pct"/>
            <w:gridSpan w:val="6"/>
            <w:noWrap w:val="0"/>
            <w:vAlign w:val="center"/>
          </w:tcPr>
          <w:p w14:paraId="74259F48">
            <w:pPr>
              <w:jc w:val="center"/>
              <w:rPr>
                <w:rFonts w:hint="default" w:ascii="宋体" w:hAnsi="宋体" w:eastAsia="宋体"/>
                <w:sz w:val="24"/>
                <w:highlight w:val="none"/>
                <w:lang w:val="en-US" w:eastAsia="zh-CN"/>
              </w:rPr>
            </w:pPr>
            <w:r>
              <w:rPr>
                <w:rFonts w:hint="eastAsia" w:ascii="宋体" w:hAnsi="宋体"/>
                <w:sz w:val="24"/>
                <w:highlight w:val="none"/>
                <w:lang w:val="en-US" w:eastAsia="zh-CN"/>
              </w:rPr>
              <w:t>总价</w:t>
            </w:r>
          </w:p>
        </w:tc>
        <w:tc>
          <w:tcPr>
            <w:tcW w:w="793" w:type="pct"/>
            <w:noWrap w:val="0"/>
            <w:vAlign w:val="center"/>
          </w:tcPr>
          <w:p w14:paraId="73500677">
            <w:pPr>
              <w:jc w:val="center"/>
              <w:rPr>
                <w:rFonts w:ascii="宋体" w:hAnsi="宋体" w:eastAsia="宋体"/>
                <w:sz w:val="24"/>
                <w:highlight w:val="none"/>
              </w:rPr>
            </w:pPr>
          </w:p>
        </w:tc>
      </w:tr>
    </w:tbl>
    <w:p w14:paraId="7D459D29">
      <w:pPr>
        <w:pStyle w:val="134"/>
        <w:jc w:val="both"/>
        <w:rPr>
          <w:rFonts w:hint="eastAsia" w:ascii="宋体" w:hAnsi="宋体" w:eastAsia="宋体"/>
          <w:b/>
          <w:bCs/>
          <w:highlight w:val="none"/>
          <w:lang w:val="en-US" w:eastAsia="zh-CN"/>
        </w:rPr>
      </w:pPr>
    </w:p>
    <w:p w14:paraId="7E451B21">
      <w:pPr>
        <w:pStyle w:val="134"/>
        <w:ind w:left="-108"/>
        <w:jc w:val="both"/>
        <w:rPr>
          <w:rFonts w:hint="eastAsia" w:ascii="宋体" w:hAnsi="宋体" w:eastAsia="宋体"/>
          <w:b/>
          <w:bCs/>
          <w:highlight w:val="none"/>
          <w:lang w:val="en-US" w:eastAsia="zh-CN"/>
        </w:rPr>
      </w:pPr>
    </w:p>
    <w:p w14:paraId="0983D8E1">
      <w:pPr>
        <w:pStyle w:val="134"/>
        <w:ind w:left="-108"/>
        <w:jc w:val="both"/>
        <w:rPr>
          <w:rFonts w:hint="eastAsia" w:ascii="宋体" w:hAnsi="宋体" w:eastAsia="宋体"/>
          <w:b/>
          <w:bCs/>
          <w:highlight w:val="none"/>
          <w:lang w:val="en-US" w:eastAsia="zh-CN"/>
        </w:rPr>
      </w:pPr>
    </w:p>
    <w:p w14:paraId="339BEB0B">
      <w:pPr>
        <w:pStyle w:val="134"/>
        <w:ind w:left="-108"/>
        <w:jc w:val="both"/>
        <w:rPr>
          <w:rFonts w:hint="eastAsia" w:ascii="宋体" w:hAnsi="宋体" w:eastAsia="宋体"/>
          <w:b/>
          <w:bCs/>
          <w:highlight w:val="none"/>
          <w:lang w:val="en-US" w:eastAsia="zh-CN"/>
        </w:rPr>
      </w:pPr>
    </w:p>
    <w:p w14:paraId="0BC3D30D">
      <w:pPr>
        <w:pStyle w:val="134"/>
        <w:ind w:left="-108"/>
        <w:jc w:val="both"/>
        <w:rPr>
          <w:rFonts w:hint="eastAsia" w:ascii="宋体" w:hAnsi="宋体" w:eastAsia="宋体"/>
          <w:b/>
          <w:bCs/>
          <w:highlight w:val="none"/>
          <w:lang w:val="en-US" w:eastAsia="zh-CN"/>
        </w:rPr>
      </w:pPr>
    </w:p>
    <w:p w14:paraId="40B8F7B9">
      <w:pPr>
        <w:pStyle w:val="134"/>
        <w:ind w:left="-108"/>
        <w:jc w:val="both"/>
        <w:rPr>
          <w:rFonts w:hint="eastAsia" w:ascii="宋体" w:hAnsi="宋体" w:eastAsia="宋体"/>
          <w:b/>
          <w:bCs/>
          <w:highlight w:val="none"/>
          <w:lang w:val="en-US" w:eastAsia="zh-CN"/>
        </w:rPr>
      </w:pPr>
    </w:p>
    <w:p w14:paraId="3A7769AA">
      <w:pPr>
        <w:pStyle w:val="134"/>
        <w:ind w:left="-108"/>
        <w:jc w:val="both"/>
        <w:rPr>
          <w:rFonts w:hint="eastAsia" w:ascii="宋体" w:hAnsi="宋体" w:eastAsia="宋体"/>
          <w:b/>
          <w:bCs/>
          <w:highlight w:val="none"/>
          <w:lang w:val="en-US" w:eastAsia="zh-CN"/>
        </w:rPr>
      </w:pPr>
    </w:p>
    <w:p w14:paraId="46FC0C87">
      <w:pPr>
        <w:pStyle w:val="134"/>
        <w:ind w:left="-108"/>
        <w:jc w:val="both"/>
        <w:rPr>
          <w:rFonts w:hint="eastAsia" w:ascii="宋体" w:hAnsi="宋体" w:eastAsia="宋体"/>
          <w:b/>
          <w:bCs/>
          <w:highlight w:val="none"/>
          <w:lang w:val="en-US" w:eastAsia="zh-CN"/>
        </w:rPr>
      </w:pPr>
    </w:p>
    <w:p w14:paraId="75F2055F">
      <w:pPr>
        <w:pStyle w:val="134"/>
        <w:ind w:left="-108"/>
        <w:jc w:val="both"/>
        <w:rPr>
          <w:rFonts w:hint="eastAsia" w:ascii="宋体" w:hAnsi="宋体" w:eastAsia="宋体"/>
          <w:b/>
          <w:bCs/>
          <w:highlight w:val="none"/>
          <w:lang w:val="en-US" w:eastAsia="zh-CN"/>
        </w:rPr>
      </w:pPr>
    </w:p>
    <w:p w14:paraId="14D8DA06">
      <w:pPr>
        <w:pStyle w:val="134"/>
        <w:ind w:left="-108"/>
        <w:jc w:val="both"/>
        <w:rPr>
          <w:rFonts w:hint="eastAsia" w:ascii="宋体" w:hAnsi="宋体" w:eastAsia="宋体"/>
          <w:b/>
          <w:bCs/>
          <w:highlight w:val="none"/>
          <w:lang w:val="en-US" w:eastAsia="zh-CN"/>
        </w:rPr>
      </w:pPr>
    </w:p>
    <w:p w14:paraId="3500ECB7">
      <w:pPr>
        <w:pStyle w:val="134"/>
        <w:ind w:left="-108"/>
        <w:jc w:val="both"/>
        <w:rPr>
          <w:rFonts w:hint="eastAsia" w:ascii="宋体" w:hAnsi="宋体" w:eastAsia="宋体"/>
          <w:b/>
          <w:bCs/>
          <w:highlight w:val="none"/>
          <w:lang w:val="en-US" w:eastAsia="zh-CN"/>
        </w:rPr>
      </w:pPr>
    </w:p>
    <w:p w14:paraId="6B313E7C">
      <w:pPr>
        <w:pStyle w:val="134"/>
        <w:ind w:left="-108"/>
        <w:jc w:val="both"/>
        <w:rPr>
          <w:rFonts w:hint="eastAsia" w:ascii="宋体" w:hAnsi="宋体" w:eastAsia="宋体"/>
          <w:b/>
          <w:bCs/>
          <w:highlight w:val="none"/>
          <w:lang w:val="en-US" w:eastAsia="zh-CN"/>
        </w:rPr>
      </w:pPr>
    </w:p>
    <w:p w14:paraId="446C7928">
      <w:pPr>
        <w:pStyle w:val="134"/>
        <w:ind w:left="-108"/>
        <w:jc w:val="both"/>
        <w:rPr>
          <w:rFonts w:hint="eastAsia" w:ascii="宋体" w:hAnsi="宋体" w:eastAsia="宋体"/>
          <w:b/>
          <w:bCs/>
          <w:highlight w:val="none"/>
          <w:lang w:val="en-US" w:eastAsia="zh-CN"/>
        </w:rPr>
      </w:pPr>
    </w:p>
    <w:p w14:paraId="52E5FCF9">
      <w:pPr>
        <w:pStyle w:val="134"/>
        <w:ind w:left="-108"/>
        <w:jc w:val="both"/>
        <w:rPr>
          <w:rFonts w:hint="eastAsia" w:ascii="宋体" w:hAnsi="宋体" w:eastAsia="宋体"/>
          <w:b/>
          <w:bCs/>
          <w:highlight w:val="none"/>
          <w:lang w:val="en-US" w:eastAsia="zh-CN"/>
        </w:rPr>
      </w:pPr>
    </w:p>
    <w:p w14:paraId="1F3097ED">
      <w:pPr>
        <w:pStyle w:val="134"/>
        <w:ind w:left="-108"/>
        <w:jc w:val="both"/>
        <w:rPr>
          <w:rFonts w:hint="eastAsia" w:ascii="宋体" w:hAnsi="宋体" w:eastAsia="宋体"/>
          <w:b/>
          <w:bCs/>
          <w:highlight w:val="none"/>
          <w:lang w:val="en-US" w:eastAsia="zh-CN"/>
        </w:rPr>
      </w:pPr>
    </w:p>
    <w:p w14:paraId="6E8C49C4">
      <w:pPr>
        <w:pStyle w:val="134"/>
        <w:ind w:left="-108"/>
        <w:jc w:val="both"/>
        <w:rPr>
          <w:rFonts w:hint="eastAsia" w:ascii="宋体" w:hAnsi="宋体" w:eastAsia="宋体"/>
          <w:b/>
          <w:bCs/>
          <w:highlight w:val="none"/>
          <w:lang w:val="en-US" w:eastAsia="zh-CN"/>
        </w:rPr>
      </w:pPr>
    </w:p>
    <w:p w14:paraId="4FE80073">
      <w:pPr>
        <w:pStyle w:val="134"/>
        <w:ind w:left="-108"/>
        <w:jc w:val="both"/>
        <w:rPr>
          <w:rFonts w:hint="eastAsia" w:ascii="宋体" w:hAnsi="宋体" w:eastAsia="宋体"/>
          <w:b/>
          <w:bCs/>
          <w:highlight w:val="none"/>
          <w:lang w:val="en-US" w:eastAsia="zh-CN"/>
        </w:rPr>
      </w:pPr>
    </w:p>
    <w:p w14:paraId="7D0AADE5">
      <w:pPr>
        <w:pStyle w:val="134"/>
        <w:ind w:left="-108"/>
        <w:jc w:val="both"/>
        <w:rPr>
          <w:rFonts w:hint="eastAsia" w:ascii="宋体" w:hAnsi="宋体" w:eastAsia="宋体"/>
          <w:b/>
          <w:bCs/>
          <w:highlight w:val="none"/>
          <w:lang w:val="en-US" w:eastAsia="zh-CN"/>
        </w:rPr>
      </w:pPr>
    </w:p>
    <w:p w14:paraId="392D826A">
      <w:pPr>
        <w:pStyle w:val="134"/>
        <w:jc w:val="both"/>
        <w:rPr>
          <w:rFonts w:hint="eastAsia" w:ascii="宋体" w:hAnsi="宋体" w:eastAsia="宋体"/>
          <w:b/>
          <w:bCs/>
          <w:highlight w:val="none"/>
          <w:lang w:val="en-US" w:eastAsia="zh-CN"/>
        </w:rPr>
      </w:pPr>
    </w:p>
    <w:p w14:paraId="58B8CCEC">
      <w:pPr>
        <w:pStyle w:val="134"/>
        <w:ind w:left="-108"/>
        <w:jc w:val="both"/>
        <w:rPr>
          <w:rFonts w:hint="eastAsia" w:ascii="宋体" w:hAnsi="宋体" w:eastAsia="宋体"/>
          <w:b/>
          <w:bCs/>
          <w:highlight w:val="none"/>
          <w:lang w:val="en-US" w:eastAsia="zh-CN"/>
        </w:rPr>
      </w:pPr>
    </w:p>
    <w:p w14:paraId="7858EBBC">
      <w:pPr>
        <w:pStyle w:val="134"/>
        <w:ind w:left="-108"/>
        <w:jc w:val="both"/>
        <w:rPr>
          <w:rFonts w:hint="eastAsia" w:ascii="宋体" w:hAnsi="宋体" w:eastAsia="宋体"/>
          <w:b/>
          <w:bCs/>
          <w:highlight w:val="none"/>
          <w:lang w:val="en-US" w:eastAsia="zh-CN"/>
        </w:rPr>
      </w:pPr>
    </w:p>
    <w:p w14:paraId="559EB15D">
      <w:pPr>
        <w:pStyle w:val="134"/>
        <w:ind w:left="-108"/>
        <w:jc w:val="both"/>
        <w:rPr>
          <w:rFonts w:hint="eastAsia" w:ascii="宋体" w:hAnsi="宋体" w:eastAsia="宋体"/>
          <w:b/>
          <w:bCs/>
          <w:highlight w:val="none"/>
          <w:lang w:val="en-US" w:eastAsia="zh-CN"/>
        </w:rPr>
      </w:pPr>
    </w:p>
    <w:p w14:paraId="466F6E01">
      <w:pPr>
        <w:pStyle w:val="134"/>
        <w:jc w:val="both"/>
        <w:rPr>
          <w:rFonts w:hint="eastAsia" w:ascii="宋体" w:hAnsi="宋体" w:eastAsia="宋体"/>
          <w:b/>
          <w:bCs/>
          <w:highlight w:val="none"/>
          <w:lang w:val="en-US" w:eastAsia="zh-CN"/>
        </w:rPr>
      </w:pPr>
    </w:p>
    <w:p w14:paraId="134B4F9A">
      <w:pPr>
        <w:spacing w:line="360" w:lineRule="auto"/>
        <w:jc w:val="center"/>
        <w:outlineLvl w:val="1"/>
        <w:rPr>
          <w:rFonts w:asciiTheme="minorEastAsia" w:hAnsiTheme="minorEastAsia" w:eastAsiaTheme="minorEastAsia"/>
          <w:b/>
          <w:color w:val="auto"/>
          <w:sz w:val="24"/>
          <w:highlight w:val="none"/>
        </w:rPr>
      </w:pPr>
      <w:bookmarkStart w:id="77" w:name="_Toc13918"/>
      <w:bookmarkStart w:id="78" w:name="_Toc127"/>
      <w:r>
        <w:rPr>
          <w:rFonts w:hint="eastAsia" w:asciiTheme="minorEastAsia" w:hAnsiTheme="minorEastAsia" w:eastAsiaTheme="minorEastAsia"/>
          <w:b/>
          <w:color w:val="auto"/>
          <w:sz w:val="24"/>
          <w:highlight w:val="none"/>
        </w:rPr>
        <w:t>二</w:t>
      </w:r>
      <w:bookmarkEnd w:id="74"/>
      <w:bookmarkEnd w:id="75"/>
      <w:r>
        <w:rPr>
          <w:rFonts w:hint="eastAsia" w:asciiTheme="minorEastAsia" w:hAnsiTheme="minorEastAsia" w:eastAsiaTheme="minorEastAsia"/>
          <w:b/>
          <w:color w:val="auto"/>
          <w:sz w:val="24"/>
          <w:highlight w:val="none"/>
        </w:rPr>
        <w:t>、最后承诺报价表</w:t>
      </w:r>
      <w:bookmarkEnd w:id="76"/>
      <w:bookmarkEnd w:id="77"/>
      <w:bookmarkEnd w:id="78"/>
    </w:p>
    <w:p w14:paraId="34BE593C">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14846676">
      <w:pPr>
        <w:snapToGrid w:val="0"/>
        <w:spacing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456AE360">
      <w:pPr>
        <w:snapToGrid w:val="0"/>
        <w:spacing w:after="156" w:afterLines="5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p w14:paraId="7241CE53">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default" w:ascii="宋体" w:hAnsi="宋体" w:eastAsia="宋体"/>
          <w:b w:val="0"/>
          <w:bCs/>
          <w:color w:val="auto"/>
          <w:sz w:val="24"/>
          <w:szCs w:val="28"/>
          <w:highlight w:val="none"/>
          <w:u w:val="none"/>
          <w:lang w:val="en-US" w:eastAsia="zh-CN"/>
        </w:rPr>
      </w:pPr>
      <w:r>
        <w:rPr>
          <w:rFonts w:hint="eastAsia" w:ascii="宋体" w:hAnsi="宋体"/>
          <w:b w:val="0"/>
          <w:bCs/>
          <w:color w:val="auto"/>
          <w:sz w:val="24"/>
          <w:szCs w:val="28"/>
          <w:highlight w:val="none"/>
          <w:u w:val="none"/>
          <w:lang w:val="en-US" w:eastAsia="zh-CN"/>
        </w:rPr>
        <w:t>单位：元/套</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0"/>
        <w:gridCol w:w="6286"/>
      </w:tblGrid>
      <w:tr w14:paraId="4C9A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7F6F68D">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144FF570">
            <w:pPr>
              <w:spacing w:line="360" w:lineRule="auto"/>
              <w:rPr>
                <w:rFonts w:ascii="宋体" w:hAnsi="宋体" w:eastAsia="宋体"/>
                <w:b/>
                <w:color w:val="auto"/>
                <w:sz w:val="24"/>
                <w:highlight w:val="none"/>
              </w:rPr>
            </w:pPr>
          </w:p>
        </w:tc>
      </w:tr>
      <w:tr w14:paraId="7CE4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60E032A">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谈判</w:t>
            </w:r>
            <w:r>
              <w:rPr>
                <w:rFonts w:hint="eastAsia" w:ascii="宋体" w:hAnsi="宋体" w:eastAsia="宋体"/>
                <w:b/>
                <w:color w:val="auto"/>
                <w:sz w:val="24"/>
                <w:highlight w:val="none"/>
              </w:rPr>
              <w:t>范围</w:t>
            </w:r>
          </w:p>
        </w:tc>
        <w:tc>
          <w:tcPr>
            <w:tcW w:w="3556" w:type="pct"/>
            <w:tcBorders>
              <w:left w:val="single" w:color="auto" w:sz="4" w:space="0"/>
            </w:tcBorders>
            <w:vAlign w:val="center"/>
          </w:tcPr>
          <w:p w14:paraId="58CDB097">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7C5F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1" w:hRule="atLeast"/>
          <w:jc w:val="center"/>
        </w:trPr>
        <w:tc>
          <w:tcPr>
            <w:tcW w:w="1443" w:type="pct"/>
            <w:tcBorders>
              <w:top w:val="single" w:color="auto" w:sz="4" w:space="0"/>
            </w:tcBorders>
            <w:vAlign w:val="center"/>
          </w:tcPr>
          <w:p w14:paraId="5B98DC41">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081E013A">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03A7120E">
            <w:pPr>
              <w:snapToGrid w:val="0"/>
              <w:spacing w:line="360" w:lineRule="auto"/>
              <w:jc w:val="left"/>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rPr>
              <w:t xml:space="preserve">                     </w:t>
            </w:r>
          </w:p>
          <w:p w14:paraId="71EEB197">
            <w:pPr>
              <w:snapToGrid w:val="0"/>
              <w:spacing w:line="360" w:lineRule="auto"/>
              <w:rPr>
                <w:rFonts w:ascii="宋体" w:hAnsi="宋体" w:eastAsia="宋体"/>
                <w:b/>
                <w:color w:val="auto"/>
                <w:sz w:val="24"/>
                <w:highlight w:val="none"/>
              </w:rPr>
            </w:pP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p>
        </w:tc>
      </w:tr>
      <w:tr w14:paraId="5CE2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jc w:val="center"/>
        </w:trPr>
        <w:tc>
          <w:tcPr>
            <w:tcW w:w="1443" w:type="pct"/>
            <w:vAlign w:val="center"/>
          </w:tcPr>
          <w:p w14:paraId="20D215F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6EFF9DA2">
            <w:pPr>
              <w:spacing w:line="360" w:lineRule="auto"/>
              <w:rPr>
                <w:rFonts w:ascii="宋体" w:hAnsi="宋体" w:eastAsia="宋体"/>
                <w:b w:val="0"/>
                <w:bCs/>
                <w:color w:val="auto"/>
                <w:sz w:val="24"/>
                <w:highlight w:val="none"/>
              </w:rPr>
            </w:pPr>
          </w:p>
          <w:p w14:paraId="7778D8F4">
            <w:pPr>
              <w:spacing w:line="360" w:lineRule="auto"/>
              <w:rPr>
                <w:rFonts w:ascii="宋体" w:hAnsi="宋体" w:eastAsia="宋体"/>
                <w:b/>
                <w:color w:val="auto"/>
                <w:sz w:val="24"/>
                <w:highlight w:val="none"/>
              </w:rPr>
            </w:pPr>
            <w:bookmarkStart w:id="115" w:name="_GoBack"/>
            <w:bookmarkEnd w:id="115"/>
          </w:p>
        </w:tc>
      </w:tr>
    </w:tbl>
    <w:p w14:paraId="1D213B27">
      <w:pPr>
        <w:spacing w:line="360" w:lineRule="auto"/>
        <w:ind w:firstLine="1680" w:firstLineChars="700"/>
        <w:jc w:val="left"/>
        <w:rPr>
          <w:rFonts w:hint="eastAsia" w:ascii="宋体" w:hAnsi="宋体" w:eastAsia="宋体"/>
          <w:color w:val="auto"/>
          <w:sz w:val="24"/>
          <w:highlight w:val="none"/>
        </w:rPr>
      </w:pPr>
      <w:r>
        <w:rPr>
          <w:rFonts w:hint="eastAsia" w:ascii="宋体" w:hAnsi="宋体" w:eastAsia="宋体"/>
          <w:color w:val="auto"/>
          <w:sz w:val="24"/>
          <w:highlight w:val="none"/>
        </w:rPr>
        <w:t xml:space="preserve">                     </w:t>
      </w:r>
    </w:p>
    <w:p w14:paraId="39F6FA75">
      <w:pPr>
        <w:spacing w:line="360" w:lineRule="auto"/>
        <w:ind w:firstLine="4320" w:firstLineChars="18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p>
    <w:p w14:paraId="68C1EE00">
      <w:pPr>
        <w:spacing w:line="360" w:lineRule="auto"/>
        <w:ind w:firstLine="4440" w:firstLineChars="1850"/>
        <w:jc w:val="left"/>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p>
    <w:p w14:paraId="6B5ACC65">
      <w:pPr>
        <w:spacing w:line="360" w:lineRule="auto"/>
        <w:ind w:firstLine="4200" w:firstLineChars="1750"/>
        <w:jc w:val="left"/>
        <w:rPr>
          <w:rFonts w:ascii="宋体" w:hAnsi="宋体" w:eastAsia="宋体"/>
          <w:color w:val="auto"/>
          <w:sz w:val="24"/>
          <w:highlight w:val="none"/>
        </w:rPr>
      </w:pPr>
    </w:p>
    <w:p w14:paraId="51BE6AEB">
      <w:pPr>
        <w:spacing w:line="360" w:lineRule="auto"/>
        <w:rPr>
          <w:rFonts w:hint="eastAsia" w:eastAsia="宋体" w:asciiTheme="minorEastAsia" w:hAnsiTheme="minorEastAsia"/>
          <w:color w:val="auto"/>
          <w:sz w:val="24"/>
          <w:highlight w:val="none"/>
          <w:lang w:eastAsia="zh-CN"/>
        </w:rPr>
      </w:pPr>
      <w:r>
        <w:rPr>
          <w:rFonts w:hint="eastAsia" w:asciiTheme="minorEastAsia" w:hAnsiTheme="minorEastAsia" w:eastAsiaTheme="minorEastAsia"/>
          <w:b/>
          <w:color w:val="auto"/>
          <w:sz w:val="24"/>
          <w:highlight w:val="none"/>
        </w:rPr>
        <w:t>注：1.</w:t>
      </w:r>
      <w:r>
        <w:rPr>
          <w:rFonts w:hint="eastAsia" w:ascii="宋体" w:hAnsi="宋体" w:eastAsia="宋体"/>
          <w:b/>
          <w:bCs/>
          <w:color w:val="auto"/>
          <w:sz w:val="24"/>
          <w:highlight w:val="none"/>
        </w:rPr>
        <w:t>由供应商在接到报价通知后依据谈判情况填写,并在规定时间内提交</w:t>
      </w:r>
      <w:r>
        <w:rPr>
          <w:rFonts w:hint="eastAsia" w:ascii="宋体" w:hAnsi="宋体" w:eastAsia="宋体"/>
          <w:b/>
          <w:bCs/>
          <w:color w:val="auto"/>
          <w:sz w:val="24"/>
          <w:highlight w:val="none"/>
          <w:lang w:eastAsia="zh-CN"/>
        </w:rPr>
        <w:t>；</w:t>
      </w:r>
    </w:p>
    <w:p w14:paraId="23F51445">
      <w:pPr>
        <w:numPr>
          <w:ilvl w:val="0"/>
          <w:numId w:val="3"/>
        </w:numPr>
        <w:spacing w:line="360" w:lineRule="auto"/>
        <w:ind w:firstLine="482" w:firstLineChars="200"/>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rPr>
        <w:t>表中大写</w:t>
      </w:r>
      <w:r>
        <w:rPr>
          <w:rFonts w:hint="eastAsia" w:ascii="宋体" w:hAnsi="宋体"/>
          <w:b/>
          <w:bCs/>
          <w:color w:val="auto"/>
          <w:sz w:val="24"/>
          <w:szCs w:val="28"/>
          <w:highlight w:val="none"/>
          <w:lang w:val="en-US" w:eastAsia="zh-CN"/>
        </w:rPr>
        <w:t>金额</w:t>
      </w:r>
      <w:r>
        <w:rPr>
          <w:rFonts w:hint="eastAsia" w:asciiTheme="minorEastAsia" w:hAnsiTheme="minorEastAsia" w:eastAsiaTheme="minorEastAsia"/>
          <w:b/>
          <w:bCs/>
          <w:color w:val="auto"/>
          <w:sz w:val="24"/>
          <w:highlight w:val="none"/>
        </w:rPr>
        <w:t>与小写</w:t>
      </w:r>
      <w:r>
        <w:rPr>
          <w:rFonts w:hint="eastAsia" w:ascii="宋体" w:hAnsi="宋体"/>
          <w:b/>
          <w:bCs/>
          <w:color w:val="auto"/>
          <w:sz w:val="24"/>
          <w:szCs w:val="28"/>
          <w:highlight w:val="none"/>
          <w:lang w:val="en-US" w:eastAsia="zh-CN"/>
        </w:rPr>
        <w:t>金额</w:t>
      </w:r>
      <w:r>
        <w:rPr>
          <w:rFonts w:hint="eastAsia" w:asciiTheme="minorEastAsia" w:hAnsiTheme="minorEastAsia" w:eastAsiaTheme="minorEastAsia"/>
          <w:b/>
          <w:bCs/>
          <w:color w:val="auto"/>
          <w:sz w:val="24"/>
          <w:highlight w:val="none"/>
        </w:rPr>
        <w:t>不一致的，以大写</w:t>
      </w:r>
      <w:r>
        <w:rPr>
          <w:rFonts w:hint="eastAsia" w:asciiTheme="minorEastAsia" w:hAnsiTheme="minorEastAsia" w:eastAsiaTheme="minorEastAsia"/>
          <w:b/>
          <w:bCs/>
          <w:color w:val="auto"/>
          <w:sz w:val="24"/>
          <w:highlight w:val="none"/>
          <w:lang w:val="en-US" w:eastAsia="zh-CN"/>
        </w:rPr>
        <w:t>金额</w:t>
      </w:r>
      <w:r>
        <w:rPr>
          <w:rFonts w:hint="eastAsia" w:asciiTheme="minorEastAsia" w:hAnsiTheme="minorEastAsia" w:eastAsiaTheme="minorEastAsia"/>
          <w:b/>
          <w:bCs/>
          <w:color w:val="auto"/>
          <w:sz w:val="24"/>
          <w:highlight w:val="none"/>
        </w:rPr>
        <w:t>为准</w:t>
      </w:r>
      <w:r>
        <w:rPr>
          <w:rFonts w:hint="eastAsia" w:asciiTheme="minorEastAsia" w:hAnsiTheme="minorEastAsia" w:eastAsiaTheme="minorEastAsia"/>
          <w:b/>
          <w:bCs/>
          <w:color w:val="auto"/>
          <w:sz w:val="24"/>
          <w:highlight w:val="none"/>
          <w:lang w:eastAsia="zh-CN"/>
        </w:rPr>
        <w:t>；</w:t>
      </w:r>
    </w:p>
    <w:p w14:paraId="193F273F">
      <w:pPr>
        <w:spacing w:line="360" w:lineRule="auto"/>
        <w:ind w:firstLine="482" w:firstLineChars="200"/>
        <w:rPr>
          <w:rFonts w:hint="eastAsia"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lang w:val="en-US" w:eastAsia="zh-CN"/>
        </w:rPr>
        <w:t>3.若有分项报价，则分项报价按总报价的同等比例下浮；</w:t>
      </w:r>
    </w:p>
    <w:p w14:paraId="27C12FA1">
      <w:pPr>
        <w:spacing w:line="360" w:lineRule="auto"/>
        <w:ind w:firstLine="482" w:firstLineChars="200"/>
        <w:rPr>
          <w:rFonts w:hint="eastAsia"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lang w:val="en-US" w:eastAsia="zh-CN"/>
        </w:rPr>
        <w:t>4.最后报价保留两位小数，小数点后第三位四舍五入。</w:t>
      </w:r>
    </w:p>
    <w:p w14:paraId="1F507C49">
      <w:pPr>
        <w:spacing w:line="360" w:lineRule="auto"/>
        <w:ind w:firstLine="482" w:firstLineChars="200"/>
        <w:rPr>
          <w:rFonts w:hint="eastAsia" w:ascii="宋体" w:eastAsia="宋体"/>
          <w:color w:val="auto"/>
          <w:szCs w:val="21"/>
          <w:highlight w:val="none"/>
          <w:lang w:eastAsia="zh-CN"/>
        </w:rPr>
      </w:pPr>
      <w:r>
        <w:rPr>
          <w:rFonts w:hint="eastAsia" w:ascii="宋体" w:hAnsi="宋体" w:eastAsia="宋体" w:cs="Times New Roman"/>
          <w:b/>
          <w:bCs/>
          <w:color w:val="auto"/>
          <w:sz w:val="24"/>
          <w:highlight w:val="none"/>
          <w:lang w:val="en-US" w:eastAsia="zh-CN"/>
        </w:rPr>
        <w:t>5.</w:t>
      </w:r>
      <w:r>
        <w:rPr>
          <w:rFonts w:hint="eastAsia" w:ascii="宋体" w:hAnsi="宋体" w:eastAsia="宋体" w:cs="Times New Roman"/>
          <w:b/>
          <w:bCs/>
          <w:color w:val="auto"/>
          <w:sz w:val="24"/>
          <w:highlight w:val="none"/>
        </w:rPr>
        <w:t>此表请各供应商多准备几份，并加盖供应商公章，以</w:t>
      </w:r>
      <w:r>
        <w:rPr>
          <w:rFonts w:hint="eastAsia" w:ascii="宋体" w:hAnsi="宋体"/>
          <w:b/>
          <w:sz w:val="24"/>
        </w:rPr>
        <w:t>便在</w:t>
      </w:r>
      <w:r>
        <w:rPr>
          <w:rFonts w:hint="eastAsia" w:ascii="宋体" w:hAnsi="宋体"/>
          <w:b/>
          <w:sz w:val="24"/>
          <w:lang w:val="en-US" w:eastAsia="zh-CN"/>
        </w:rPr>
        <w:t>谈判</w:t>
      </w:r>
      <w:r>
        <w:rPr>
          <w:rFonts w:hint="eastAsia" w:ascii="宋体" w:hAnsi="宋体"/>
          <w:b/>
          <w:sz w:val="24"/>
        </w:rPr>
        <w:t>时报价使用。（此表由供应商</w:t>
      </w:r>
      <w:r>
        <w:rPr>
          <w:rFonts w:hint="eastAsia" w:ascii="宋体" w:hAnsi="宋体"/>
          <w:b/>
          <w:sz w:val="24"/>
          <w:lang w:val="en-US" w:eastAsia="zh-CN"/>
        </w:rPr>
        <w:t>谈判</w:t>
      </w:r>
      <w:r>
        <w:rPr>
          <w:rFonts w:hint="eastAsia" w:ascii="宋体" w:hAnsi="宋体"/>
          <w:b/>
          <w:sz w:val="24"/>
        </w:rPr>
        <w:t>现场递交）</w:t>
      </w:r>
      <w:r>
        <w:rPr>
          <w:rFonts w:hint="eastAsia" w:ascii="宋体" w:hAnsi="宋体"/>
          <w:b/>
          <w:sz w:val="24"/>
          <w:lang w:eastAsia="zh-CN"/>
        </w:rPr>
        <w:t>。</w:t>
      </w:r>
    </w:p>
    <w:p w14:paraId="749A19AA">
      <w:pPr>
        <w:pStyle w:val="16"/>
        <w:numPr>
          <w:ilvl w:val="0"/>
          <w:numId w:val="0"/>
        </w:numPr>
      </w:pPr>
    </w:p>
    <w:p w14:paraId="74FC0FE2">
      <w:pPr>
        <w:spacing w:line="360" w:lineRule="auto"/>
        <w:ind w:firstLine="435"/>
        <w:rPr>
          <w:rFonts w:asciiTheme="minorEastAsia" w:hAnsiTheme="minorEastAsia" w:eastAsiaTheme="minorEastAsia"/>
          <w:b/>
          <w:bCs/>
          <w:color w:val="auto"/>
          <w:sz w:val="24"/>
          <w:highlight w:val="none"/>
        </w:rPr>
      </w:pPr>
    </w:p>
    <w:p w14:paraId="5C27C790">
      <w:pPr>
        <w:widowControl/>
        <w:jc w:val="left"/>
        <w:rPr>
          <w:rFonts w:asciiTheme="minorEastAsia" w:hAnsiTheme="minorEastAsia" w:eastAsiaTheme="minorEastAsia"/>
          <w:b/>
          <w:color w:val="auto"/>
          <w:sz w:val="24"/>
          <w:highlight w:val="none"/>
        </w:rPr>
      </w:pPr>
      <w:bookmarkStart w:id="79" w:name="_Toc520983591"/>
      <w:r>
        <w:rPr>
          <w:rFonts w:asciiTheme="minorEastAsia" w:hAnsiTheme="minorEastAsia" w:eastAsiaTheme="minorEastAsia"/>
          <w:b/>
          <w:color w:val="auto"/>
          <w:sz w:val="24"/>
          <w:highlight w:val="none"/>
        </w:rPr>
        <w:br w:type="page"/>
      </w:r>
    </w:p>
    <w:p w14:paraId="4A3DFF40">
      <w:pPr>
        <w:spacing w:line="360" w:lineRule="auto"/>
        <w:jc w:val="center"/>
        <w:outlineLvl w:val="1"/>
        <w:rPr>
          <w:rFonts w:asciiTheme="minorEastAsia" w:hAnsiTheme="minorEastAsia" w:eastAsiaTheme="minorEastAsia"/>
          <w:b/>
          <w:color w:val="auto"/>
          <w:sz w:val="24"/>
          <w:highlight w:val="none"/>
        </w:rPr>
      </w:pPr>
      <w:bookmarkStart w:id="80" w:name="_Toc19122"/>
      <w:bookmarkStart w:id="81" w:name="_Toc24283"/>
      <w:r>
        <w:rPr>
          <w:rFonts w:hint="eastAsia" w:asciiTheme="minorEastAsia" w:hAnsiTheme="minorEastAsia" w:eastAsiaTheme="minorEastAsia"/>
          <w:b/>
          <w:color w:val="auto"/>
          <w:sz w:val="24"/>
          <w:highlight w:val="none"/>
        </w:rPr>
        <w:t>三、谈判响应函</w:t>
      </w:r>
      <w:bookmarkEnd w:id="79"/>
      <w:bookmarkEnd w:id="80"/>
      <w:bookmarkEnd w:id="81"/>
    </w:p>
    <w:p w14:paraId="271A7659">
      <w:pPr>
        <w:pStyle w:val="23"/>
        <w:spacing w:line="360" w:lineRule="auto"/>
        <w:ind w:left="0" w:leftChars="0" w:firstLine="0" w:firstLineChars="0"/>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szCs w:val="24"/>
          <w:highlight w:val="none"/>
          <w:u w:val="none"/>
          <w:lang w:eastAsia="zh-CN"/>
        </w:rPr>
        <w:t>采购人</w:t>
      </w:r>
    </w:p>
    <w:p w14:paraId="31EE873C">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根据贵方的竞争性谈判公告和谈判邀请，我方兹宣布同意如下：</w:t>
      </w:r>
    </w:p>
    <w:p w14:paraId="11905B4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1.我方根据本次谈判文件的规定，严格履行合同的责任和义务</w:t>
      </w:r>
      <w:r>
        <w:rPr>
          <w:rFonts w:ascii="宋体" w:hAnsi="宋体" w:eastAsia="宋体"/>
          <w:color w:val="auto"/>
          <w:sz w:val="24"/>
          <w:highlight w:val="none"/>
        </w:rPr>
        <w:t>,</w:t>
      </w:r>
      <w:r>
        <w:rPr>
          <w:rFonts w:hint="eastAsia" w:ascii="宋体" w:hAnsi="宋体" w:eastAsia="宋体"/>
          <w:color w:val="auto"/>
          <w:sz w:val="24"/>
          <w:highlight w:val="none"/>
        </w:rPr>
        <w:t>并保证于买方要求的日期内完成，并通过买方验收。</w:t>
      </w:r>
    </w:p>
    <w:p w14:paraId="2987E6CF">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.我方已详细审核本次谈判文件，包括谈判文件附件</w:t>
      </w:r>
      <w:r>
        <w:rPr>
          <w:rFonts w:hint="eastAsia" w:ascii="宋体" w:hAnsi="宋体" w:eastAsia="宋体"/>
          <w:color w:val="auto"/>
          <w:sz w:val="24"/>
          <w:highlight w:val="none"/>
          <w:lang w:val="en-US" w:eastAsia="zh-CN"/>
        </w:rPr>
        <w:t>及更正公告</w:t>
      </w:r>
      <w:r>
        <w:rPr>
          <w:rFonts w:hint="eastAsia" w:ascii="宋体" w:hAnsi="宋体" w:eastAsia="宋体"/>
          <w:color w:val="auto"/>
          <w:sz w:val="24"/>
          <w:highlight w:val="none"/>
        </w:rPr>
        <w:t>（如有），我方正式认可并遵守本次谈判文件，并对谈判文件各项条款、规定及要求均无异议。</w:t>
      </w:r>
    </w:p>
    <w:p w14:paraId="6007E3F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.我方同意从供应商须知规定的谈判日期起遵循本谈判文件，并在供应商须知规定的谈判有效期之前均具有约束力。</w:t>
      </w:r>
    </w:p>
    <w:p w14:paraId="4F752A87">
      <w:pPr>
        <w:spacing w:line="360" w:lineRule="auto"/>
        <w:ind w:firstLine="480" w:firstLineChars="200"/>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有关的任何证据、数据或资料。</w:t>
      </w:r>
    </w:p>
    <w:p w14:paraId="30806C09">
      <w:pPr>
        <w:spacing w:line="360" w:lineRule="auto"/>
        <w:ind w:firstLine="3600" w:firstLineChars="1500"/>
        <w:rPr>
          <w:rFonts w:hint="eastAsia" w:ascii="宋体" w:hAnsi="宋体" w:eastAsia="宋体"/>
          <w:color w:val="auto"/>
          <w:sz w:val="24"/>
          <w:highlight w:val="none"/>
        </w:rPr>
      </w:pPr>
    </w:p>
    <w:p w14:paraId="1750CD75">
      <w:pPr>
        <w:spacing w:line="360" w:lineRule="auto"/>
        <w:ind w:firstLine="4320" w:firstLineChars="18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7B242CA5">
      <w:pPr>
        <w:spacing w:line="360" w:lineRule="auto"/>
        <w:ind w:firstLine="4320" w:firstLineChars="18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825E3F9">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1DFB07DE">
      <w:pPr>
        <w:spacing w:line="360" w:lineRule="auto"/>
        <w:jc w:val="center"/>
        <w:outlineLvl w:val="1"/>
        <w:rPr>
          <w:rFonts w:hint="eastAsia" w:asciiTheme="minorEastAsia" w:hAnsiTheme="minorEastAsia" w:eastAsiaTheme="minorEastAsia"/>
          <w:b/>
          <w:color w:val="auto"/>
          <w:sz w:val="24"/>
          <w:highlight w:val="none"/>
        </w:rPr>
      </w:pPr>
      <w:bookmarkStart w:id="82" w:name="_Toc25337"/>
      <w:bookmarkStart w:id="83" w:name="_Toc516969106"/>
      <w:bookmarkStart w:id="84" w:name="_Toc121626298"/>
      <w:bookmarkStart w:id="85" w:name="_Toc520983594"/>
      <w:bookmarkStart w:id="86" w:name="_Toc204594911"/>
      <w:bookmarkStart w:id="87" w:name="_Toc10139"/>
      <w:r>
        <w:rPr>
          <w:rFonts w:hint="eastAsia" w:asciiTheme="minorEastAsia" w:hAnsiTheme="minorEastAsia" w:eastAsiaTheme="minorEastAsia"/>
          <w:b/>
          <w:color w:val="auto"/>
          <w:sz w:val="24"/>
          <w:highlight w:val="none"/>
          <w:lang w:val="en-US" w:eastAsia="zh-CN"/>
        </w:rPr>
        <w:t>四、供应商资格声明书</w:t>
      </w:r>
      <w:bookmarkEnd w:id="82"/>
      <w:r>
        <w:rPr>
          <w:rFonts w:hint="eastAsia" w:asciiTheme="minorEastAsia" w:hAnsiTheme="minorEastAsia" w:eastAsiaTheme="minorEastAsia"/>
          <w:b/>
          <w:color w:val="auto"/>
          <w:sz w:val="24"/>
          <w:highlight w:val="none"/>
          <w:lang w:val="en-US" w:eastAsia="zh-CN"/>
        </w:rPr>
        <w:t xml:space="preserve"> </w:t>
      </w:r>
    </w:p>
    <w:p w14:paraId="798C8EF9">
      <w:pPr>
        <w:pStyle w:val="23"/>
        <w:spacing w:line="360" w:lineRule="auto"/>
        <w:ind w:left="0" w:leftChars="0" w:firstLine="0" w:firstLineChars="0"/>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none"/>
          <w:lang w:eastAsia="zh-CN"/>
        </w:rPr>
        <w:t>采购人</w:t>
      </w:r>
    </w:p>
    <w:p w14:paraId="19AC55C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在参与本次项目谈判中，我单位承诺：</w:t>
      </w:r>
    </w:p>
    <w:p w14:paraId="710E22B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1D7B559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525888C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058893D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5F6134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683A0EB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4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9"/>
        <w:gridCol w:w="4608"/>
        <w:gridCol w:w="2945"/>
      </w:tblGrid>
      <w:tr w14:paraId="4299D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4" w:type="pct"/>
            <w:vAlign w:val="center"/>
          </w:tcPr>
          <w:p w14:paraId="1AA1C5D6">
            <w:pPr>
              <w:keepNext w:val="0"/>
              <w:keepLines w:val="0"/>
              <w:pageBreakBefore w:val="0"/>
              <w:widowControl/>
              <w:suppressLineNumbers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2608" w:type="pct"/>
            <w:vAlign w:val="center"/>
          </w:tcPr>
          <w:p w14:paraId="0DABA545">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1667" w:type="pct"/>
            <w:vAlign w:val="center"/>
          </w:tcPr>
          <w:p w14:paraId="16CB7642">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6BA1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0684862B">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2608" w:type="pct"/>
            <w:vAlign w:val="center"/>
          </w:tcPr>
          <w:p w14:paraId="05FC1AC4">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1667" w:type="pct"/>
            <w:vAlign w:val="center"/>
          </w:tcPr>
          <w:p w14:paraId="1A8592C6">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41324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62D303A4">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2608" w:type="pct"/>
            <w:vAlign w:val="center"/>
          </w:tcPr>
          <w:p w14:paraId="538DA7A5">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1667" w:type="pct"/>
            <w:vAlign w:val="center"/>
          </w:tcPr>
          <w:p w14:paraId="16AB6B6B">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24B8E7D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6D4B7268">
      <w:pPr>
        <w:spacing w:line="360" w:lineRule="auto"/>
        <w:ind w:firstLine="4800" w:firstLineChars="2000"/>
        <w:rPr>
          <w:rFonts w:hint="eastAsia" w:ascii="宋体" w:hAnsi="宋体" w:eastAsia="宋体"/>
          <w:color w:val="auto"/>
          <w:sz w:val="24"/>
          <w:highlight w:val="none"/>
          <w:lang w:val="en-US" w:eastAsia="zh-CN"/>
        </w:rPr>
      </w:pPr>
    </w:p>
    <w:p w14:paraId="4F41F7C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2652F45A">
      <w:pPr>
        <w:spacing w:line="360" w:lineRule="auto"/>
        <w:ind w:firstLine="4800" w:firstLineChars="2000"/>
        <w:rPr>
          <w:rFonts w:hint="default" w:ascii="宋体" w:hAnsi="宋体" w:eastAsia="宋体"/>
          <w:color w:val="auto"/>
          <w:sz w:val="24"/>
          <w:highlight w:val="none"/>
          <w:lang w:val="en-US" w:eastAsia="zh-CN"/>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p>
    <w:p w14:paraId="6DC91BFF">
      <w:pPr>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48A33834">
      <w:pPr>
        <w:spacing w:line="360" w:lineRule="auto"/>
        <w:jc w:val="center"/>
        <w:outlineLvl w:val="1"/>
        <w:rPr>
          <w:rFonts w:asciiTheme="minorEastAsia" w:hAnsiTheme="minorEastAsia" w:eastAsiaTheme="minorEastAsia"/>
          <w:b/>
          <w:color w:val="auto"/>
          <w:sz w:val="24"/>
          <w:highlight w:val="none"/>
        </w:rPr>
      </w:pPr>
      <w:bookmarkStart w:id="88" w:name="_Toc15728"/>
      <w:r>
        <w:rPr>
          <w:rFonts w:hint="eastAsia" w:asciiTheme="minorEastAsia" w:hAnsiTheme="minorEastAsia" w:eastAsiaTheme="minorEastAsia"/>
          <w:b/>
          <w:color w:val="auto"/>
          <w:sz w:val="24"/>
          <w:highlight w:val="none"/>
          <w:lang w:val="en-US" w:eastAsia="zh-CN"/>
        </w:rPr>
        <w:t>五</w:t>
      </w:r>
      <w:r>
        <w:rPr>
          <w:rFonts w:hint="eastAsia" w:asciiTheme="minorEastAsia" w:hAnsiTheme="minorEastAsia" w:eastAsiaTheme="minorEastAsia"/>
          <w:b/>
          <w:color w:val="auto"/>
          <w:sz w:val="24"/>
          <w:highlight w:val="none"/>
        </w:rPr>
        <w:t>、授权书</w:t>
      </w:r>
      <w:bookmarkEnd w:id="83"/>
      <w:bookmarkEnd w:id="84"/>
      <w:bookmarkEnd w:id="85"/>
      <w:bookmarkEnd w:id="86"/>
      <w:bookmarkEnd w:id="87"/>
      <w:bookmarkEnd w:id="88"/>
    </w:p>
    <w:p w14:paraId="7DF0CFDA">
      <w:pPr>
        <w:pStyle w:val="21"/>
        <w:snapToGrid w:val="0"/>
        <w:spacing w:line="360" w:lineRule="auto"/>
        <w:ind w:firstLine="480" w:firstLineChars="200"/>
        <w:jc w:val="left"/>
        <w:rPr>
          <w:rFonts w:hAnsi="宋体" w:eastAsia="宋体"/>
          <w:color w:val="auto"/>
          <w:sz w:val="24"/>
          <w:szCs w:val="28"/>
          <w:highlight w:val="none"/>
        </w:rPr>
      </w:pPr>
    </w:p>
    <w:p w14:paraId="01058D42">
      <w:pPr>
        <w:pStyle w:val="21"/>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谈判过程的一切事宜，包括但不限于：提交响应文件、参与谈判、签约等。供应商授权代表在采购活动过程中所签署的一切文件和处理与之有关的一切事务，本公司均予以认可并对此承担责任。供应商授权代表无转委托权。特此授权。</w:t>
      </w:r>
    </w:p>
    <w:p w14:paraId="1878EDFE">
      <w:pPr>
        <w:pStyle w:val="21"/>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6FF422EB">
      <w:pPr>
        <w:pStyle w:val="21"/>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16B3166A">
      <w:pPr>
        <w:pStyle w:val="21"/>
        <w:snapToGrid w:val="0"/>
        <w:spacing w:line="360" w:lineRule="auto"/>
        <w:ind w:firstLine="480" w:firstLineChars="200"/>
        <w:jc w:val="left"/>
        <w:rPr>
          <w:rFonts w:hAnsi="宋体" w:eastAsia="宋体"/>
          <w:color w:val="auto"/>
          <w:sz w:val="24"/>
          <w:highlight w:val="none"/>
        </w:rPr>
      </w:pPr>
    </w:p>
    <w:p w14:paraId="75A335C5">
      <w:pPr>
        <w:pStyle w:val="21"/>
        <w:snapToGrid w:val="0"/>
        <w:spacing w:line="360" w:lineRule="auto"/>
        <w:ind w:firstLine="480" w:firstLineChars="200"/>
        <w:jc w:val="left"/>
        <w:rPr>
          <w:rFonts w:hAnsi="宋体" w:eastAsia="宋体"/>
          <w:color w:val="auto"/>
          <w:sz w:val="24"/>
          <w:highlight w:val="none"/>
        </w:rPr>
      </w:pPr>
    </w:p>
    <w:p w14:paraId="6B4F54B0">
      <w:pPr>
        <w:pStyle w:val="21"/>
        <w:snapToGrid w:val="0"/>
        <w:spacing w:line="360" w:lineRule="auto"/>
        <w:ind w:firstLine="480" w:firstLineChars="200"/>
        <w:jc w:val="left"/>
        <w:rPr>
          <w:rFonts w:hAnsi="宋体" w:eastAsia="宋体"/>
          <w:color w:val="auto"/>
          <w:sz w:val="24"/>
          <w:highlight w:val="none"/>
        </w:rPr>
      </w:pPr>
    </w:p>
    <w:p w14:paraId="63E6B7EA">
      <w:pPr>
        <w:pStyle w:val="21"/>
        <w:snapToGrid w:val="0"/>
        <w:spacing w:line="360" w:lineRule="auto"/>
        <w:ind w:firstLine="480" w:firstLineChars="200"/>
        <w:jc w:val="left"/>
        <w:rPr>
          <w:rFonts w:hAnsi="宋体" w:eastAsia="宋体"/>
          <w:color w:val="auto"/>
          <w:sz w:val="24"/>
          <w:highlight w:val="none"/>
        </w:rPr>
      </w:pPr>
    </w:p>
    <w:p w14:paraId="09EE7495">
      <w:pPr>
        <w:pStyle w:val="21"/>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50FAE0D0">
      <w:pPr>
        <w:pStyle w:val="21"/>
        <w:snapToGrid w:val="0"/>
        <w:spacing w:line="360" w:lineRule="auto"/>
        <w:ind w:firstLine="480" w:firstLineChars="200"/>
        <w:jc w:val="left"/>
        <w:rPr>
          <w:rFonts w:hAnsi="宋体" w:eastAsia="宋体"/>
          <w:color w:val="auto"/>
          <w:sz w:val="24"/>
          <w:szCs w:val="28"/>
          <w:highlight w:val="none"/>
        </w:rPr>
      </w:pPr>
    </w:p>
    <w:p w14:paraId="5EBF0C9D">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6B1D2305">
      <w:pPr>
        <w:spacing w:line="360" w:lineRule="auto"/>
        <w:rPr>
          <w:rFonts w:ascii="宋体" w:hAnsi="宋体" w:eastAsia="宋体"/>
          <w:color w:val="auto"/>
          <w:sz w:val="24"/>
          <w:szCs w:val="28"/>
          <w:highlight w:val="none"/>
        </w:rPr>
      </w:pPr>
    </w:p>
    <w:p w14:paraId="52F33077">
      <w:pPr>
        <w:spacing w:line="360" w:lineRule="auto"/>
        <w:ind w:firstLine="5280" w:firstLineChars="22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B628FD8">
      <w:pPr>
        <w:spacing w:line="360" w:lineRule="auto"/>
        <w:ind w:firstLine="5280" w:firstLineChars="2200"/>
        <w:rPr>
          <w:rFonts w:ascii="宋体" w:hAnsi="宋体" w:eastAsia="宋体"/>
          <w:color w:val="auto"/>
          <w:sz w:val="24"/>
          <w:szCs w:val="28"/>
          <w:highlight w:val="non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3FC5F5B">
      <w:pPr>
        <w:spacing w:line="360" w:lineRule="auto"/>
        <w:rPr>
          <w:rFonts w:ascii="宋体" w:hAnsi="宋体" w:eastAsia="宋体"/>
          <w:color w:val="auto"/>
          <w:sz w:val="24"/>
          <w:szCs w:val="28"/>
          <w:highlight w:val="none"/>
        </w:rPr>
      </w:pPr>
    </w:p>
    <w:p w14:paraId="24730712">
      <w:pPr>
        <w:spacing w:line="360" w:lineRule="auto"/>
        <w:rPr>
          <w:rFonts w:ascii="宋体" w:hAnsi="宋体" w:eastAsia="宋体"/>
          <w:color w:val="auto"/>
          <w:sz w:val="24"/>
          <w:szCs w:val="28"/>
          <w:highlight w:val="none"/>
        </w:rPr>
      </w:pPr>
    </w:p>
    <w:p w14:paraId="6B0155DE">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6D711B6A">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62F2DD3B">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2.法定代表人参加谈判的无需提供授权书，仅提供身份证明扫描件。</w:t>
      </w:r>
    </w:p>
    <w:p w14:paraId="6E4A26D2">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786D7AF8">
      <w:pPr>
        <w:spacing w:line="360" w:lineRule="auto"/>
        <w:jc w:val="center"/>
        <w:outlineLvl w:val="1"/>
        <w:rPr>
          <w:rFonts w:asciiTheme="minorEastAsia" w:hAnsiTheme="minorEastAsia" w:eastAsiaTheme="minorEastAsia"/>
          <w:b/>
          <w:color w:val="auto"/>
          <w:sz w:val="24"/>
          <w:highlight w:val="none"/>
        </w:rPr>
      </w:pPr>
      <w:bookmarkStart w:id="89" w:name="_Toc15310"/>
      <w:bookmarkStart w:id="90" w:name="_Toc27733"/>
      <w:r>
        <w:rPr>
          <w:rFonts w:hint="eastAsia" w:asciiTheme="minorEastAsia" w:hAnsiTheme="minorEastAsia" w:eastAsiaTheme="minorEastAsia"/>
          <w:b/>
          <w:color w:val="auto"/>
          <w:sz w:val="24"/>
          <w:highlight w:val="none"/>
        </w:rPr>
        <w:t>六、谈判响应表</w:t>
      </w:r>
      <w:bookmarkEnd w:id="89"/>
      <w:bookmarkEnd w:id="90"/>
    </w:p>
    <w:p w14:paraId="5FD070E0">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1"/>
        <w:gridCol w:w="1986"/>
        <w:gridCol w:w="2589"/>
        <w:gridCol w:w="2670"/>
        <w:gridCol w:w="840"/>
      </w:tblGrid>
      <w:tr w14:paraId="4971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5" w:type="pct"/>
            <w:vAlign w:val="center"/>
          </w:tcPr>
          <w:p w14:paraId="3BAE33E6">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077C02F7">
            <w:pPr>
              <w:pStyle w:val="2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7DCD52A0">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谈判文件要求</w:t>
            </w:r>
          </w:p>
        </w:tc>
        <w:tc>
          <w:tcPr>
            <w:tcW w:w="1511" w:type="pct"/>
            <w:vAlign w:val="center"/>
          </w:tcPr>
          <w:p w14:paraId="3CBA2C99">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供应商承诺</w:t>
            </w:r>
          </w:p>
        </w:tc>
        <w:tc>
          <w:tcPr>
            <w:tcW w:w="475" w:type="pct"/>
            <w:vAlign w:val="center"/>
          </w:tcPr>
          <w:p w14:paraId="6D373D22">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0D6F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78AE99F5">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70991E50">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14D0FADA">
            <w:pPr>
              <w:jc w:val="center"/>
              <w:rPr>
                <w:rFonts w:asciiTheme="minorEastAsia" w:hAnsiTheme="minorEastAsia" w:eastAsiaTheme="minorEastAsia"/>
                <w:color w:val="auto"/>
                <w:sz w:val="24"/>
                <w:highlight w:val="none"/>
              </w:rPr>
            </w:pPr>
          </w:p>
        </w:tc>
        <w:tc>
          <w:tcPr>
            <w:tcW w:w="1511" w:type="pct"/>
            <w:vAlign w:val="center"/>
          </w:tcPr>
          <w:p w14:paraId="68E8C36C">
            <w:pPr>
              <w:jc w:val="center"/>
              <w:rPr>
                <w:rFonts w:asciiTheme="minorEastAsia" w:hAnsiTheme="minorEastAsia" w:eastAsiaTheme="minorEastAsia"/>
                <w:color w:val="auto"/>
                <w:sz w:val="24"/>
                <w:highlight w:val="none"/>
              </w:rPr>
            </w:pPr>
          </w:p>
        </w:tc>
        <w:tc>
          <w:tcPr>
            <w:tcW w:w="475" w:type="pct"/>
            <w:vAlign w:val="center"/>
          </w:tcPr>
          <w:p w14:paraId="31F24BDA">
            <w:pPr>
              <w:jc w:val="center"/>
              <w:rPr>
                <w:rFonts w:asciiTheme="minorEastAsia" w:hAnsiTheme="minorEastAsia" w:eastAsiaTheme="minorEastAsia"/>
                <w:color w:val="auto"/>
                <w:sz w:val="24"/>
                <w:highlight w:val="none"/>
              </w:rPr>
            </w:pPr>
          </w:p>
        </w:tc>
      </w:tr>
      <w:tr w14:paraId="01FAA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395805D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6FA6484A">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1465" w:type="pct"/>
            <w:vAlign w:val="center"/>
          </w:tcPr>
          <w:p w14:paraId="49358685">
            <w:pPr>
              <w:jc w:val="center"/>
              <w:rPr>
                <w:rFonts w:asciiTheme="minorEastAsia" w:hAnsiTheme="minorEastAsia" w:eastAsiaTheme="minorEastAsia"/>
                <w:color w:val="auto"/>
                <w:sz w:val="24"/>
                <w:highlight w:val="none"/>
              </w:rPr>
            </w:pPr>
          </w:p>
        </w:tc>
        <w:tc>
          <w:tcPr>
            <w:tcW w:w="1511" w:type="pct"/>
            <w:vAlign w:val="center"/>
          </w:tcPr>
          <w:p w14:paraId="49723481">
            <w:pPr>
              <w:jc w:val="center"/>
              <w:rPr>
                <w:rFonts w:asciiTheme="minorEastAsia" w:hAnsiTheme="minorEastAsia" w:eastAsiaTheme="minorEastAsia"/>
                <w:color w:val="auto"/>
                <w:sz w:val="24"/>
                <w:highlight w:val="none"/>
              </w:rPr>
            </w:pPr>
          </w:p>
        </w:tc>
        <w:tc>
          <w:tcPr>
            <w:tcW w:w="475" w:type="pct"/>
            <w:vAlign w:val="center"/>
          </w:tcPr>
          <w:p w14:paraId="7F0DC053">
            <w:pPr>
              <w:jc w:val="center"/>
              <w:rPr>
                <w:rFonts w:asciiTheme="minorEastAsia" w:hAnsiTheme="minorEastAsia" w:eastAsiaTheme="minorEastAsia"/>
                <w:color w:val="auto"/>
                <w:sz w:val="24"/>
                <w:highlight w:val="none"/>
              </w:rPr>
            </w:pPr>
          </w:p>
        </w:tc>
      </w:tr>
      <w:tr w14:paraId="6BCE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1A8A1412">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053F3E8">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1465" w:type="pct"/>
            <w:vAlign w:val="center"/>
          </w:tcPr>
          <w:p w14:paraId="21D61DCD">
            <w:pPr>
              <w:jc w:val="center"/>
              <w:rPr>
                <w:rFonts w:asciiTheme="minorEastAsia" w:hAnsiTheme="minorEastAsia" w:eastAsiaTheme="minorEastAsia"/>
                <w:color w:val="auto"/>
                <w:sz w:val="24"/>
                <w:highlight w:val="none"/>
              </w:rPr>
            </w:pPr>
          </w:p>
        </w:tc>
        <w:tc>
          <w:tcPr>
            <w:tcW w:w="1511" w:type="pct"/>
            <w:vAlign w:val="center"/>
          </w:tcPr>
          <w:p w14:paraId="4A4C1B3B">
            <w:pPr>
              <w:pStyle w:val="134"/>
              <w:jc w:val="center"/>
              <w:rPr>
                <w:rFonts w:asciiTheme="minorEastAsia" w:hAnsiTheme="minorEastAsia" w:eastAsiaTheme="minorEastAsia"/>
                <w:color w:val="auto"/>
                <w:highlight w:val="none"/>
              </w:rPr>
            </w:pPr>
          </w:p>
        </w:tc>
        <w:tc>
          <w:tcPr>
            <w:tcW w:w="475" w:type="pct"/>
            <w:vAlign w:val="center"/>
          </w:tcPr>
          <w:p w14:paraId="1AA0F8C7">
            <w:pPr>
              <w:jc w:val="center"/>
              <w:rPr>
                <w:rFonts w:asciiTheme="minorEastAsia" w:hAnsiTheme="minorEastAsia" w:eastAsiaTheme="minorEastAsia"/>
                <w:color w:val="auto"/>
                <w:sz w:val="24"/>
                <w:highlight w:val="none"/>
              </w:rPr>
            </w:pPr>
          </w:p>
        </w:tc>
      </w:tr>
      <w:tr w14:paraId="1507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273985D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124" w:type="pct"/>
            <w:vAlign w:val="center"/>
          </w:tcPr>
          <w:p w14:paraId="474B0F78">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1465" w:type="pct"/>
            <w:vAlign w:val="center"/>
          </w:tcPr>
          <w:p w14:paraId="6196BEF2">
            <w:pPr>
              <w:jc w:val="center"/>
              <w:rPr>
                <w:rFonts w:asciiTheme="minorEastAsia" w:hAnsiTheme="minorEastAsia" w:eastAsiaTheme="minorEastAsia"/>
                <w:color w:val="auto"/>
                <w:sz w:val="24"/>
                <w:highlight w:val="none"/>
              </w:rPr>
            </w:pPr>
          </w:p>
        </w:tc>
        <w:tc>
          <w:tcPr>
            <w:tcW w:w="1511" w:type="pct"/>
            <w:vAlign w:val="center"/>
          </w:tcPr>
          <w:p w14:paraId="7E9F6C24">
            <w:pPr>
              <w:jc w:val="center"/>
              <w:rPr>
                <w:rFonts w:asciiTheme="minorEastAsia" w:hAnsiTheme="minorEastAsia" w:eastAsiaTheme="minorEastAsia"/>
                <w:color w:val="auto"/>
                <w:sz w:val="24"/>
                <w:highlight w:val="none"/>
              </w:rPr>
            </w:pPr>
          </w:p>
        </w:tc>
        <w:tc>
          <w:tcPr>
            <w:tcW w:w="475" w:type="pct"/>
            <w:vAlign w:val="center"/>
          </w:tcPr>
          <w:p w14:paraId="699EFC82">
            <w:pPr>
              <w:jc w:val="center"/>
              <w:rPr>
                <w:rFonts w:asciiTheme="minorEastAsia" w:hAnsiTheme="minorEastAsia" w:eastAsiaTheme="minorEastAsia"/>
                <w:color w:val="auto"/>
                <w:sz w:val="24"/>
                <w:highlight w:val="none"/>
              </w:rPr>
            </w:pPr>
          </w:p>
        </w:tc>
      </w:tr>
      <w:tr w14:paraId="0CD7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23BB511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29FB0A85">
            <w:pPr>
              <w:jc w:val="center"/>
              <w:rPr>
                <w:rFonts w:ascii="宋体" w:hAnsi="宋体" w:eastAsia="宋体"/>
                <w:color w:val="auto"/>
                <w:sz w:val="24"/>
                <w:highlight w:val="none"/>
              </w:rPr>
            </w:pPr>
          </w:p>
        </w:tc>
        <w:tc>
          <w:tcPr>
            <w:tcW w:w="1465" w:type="pct"/>
            <w:vAlign w:val="center"/>
          </w:tcPr>
          <w:p w14:paraId="26436D78">
            <w:pPr>
              <w:jc w:val="center"/>
              <w:rPr>
                <w:rFonts w:asciiTheme="minorEastAsia" w:hAnsiTheme="minorEastAsia" w:eastAsiaTheme="minorEastAsia"/>
                <w:color w:val="auto"/>
                <w:sz w:val="24"/>
                <w:highlight w:val="none"/>
              </w:rPr>
            </w:pPr>
          </w:p>
        </w:tc>
        <w:tc>
          <w:tcPr>
            <w:tcW w:w="1511" w:type="pct"/>
            <w:vAlign w:val="center"/>
          </w:tcPr>
          <w:p w14:paraId="5CC980E4">
            <w:pPr>
              <w:jc w:val="center"/>
              <w:rPr>
                <w:rFonts w:asciiTheme="minorEastAsia" w:hAnsiTheme="minorEastAsia" w:eastAsiaTheme="minorEastAsia"/>
                <w:color w:val="auto"/>
                <w:sz w:val="24"/>
                <w:highlight w:val="none"/>
              </w:rPr>
            </w:pPr>
          </w:p>
        </w:tc>
        <w:tc>
          <w:tcPr>
            <w:tcW w:w="475" w:type="pct"/>
            <w:vAlign w:val="center"/>
          </w:tcPr>
          <w:p w14:paraId="09B54A94">
            <w:pPr>
              <w:jc w:val="center"/>
              <w:rPr>
                <w:rFonts w:asciiTheme="minorEastAsia" w:hAnsiTheme="minorEastAsia" w:eastAsiaTheme="minorEastAsia"/>
                <w:color w:val="auto"/>
                <w:sz w:val="24"/>
                <w:highlight w:val="none"/>
              </w:rPr>
            </w:pPr>
          </w:p>
        </w:tc>
      </w:tr>
    </w:tbl>
    <w:p w14:paraId="3601942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4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1617"/>
        <w:gridCol w:w="2968"/>
        <w:gridCol w:w="2572"/>
        <w:gridCol w:w="887"/>
      </w:tblGrid>
      <w:tr w14:paraId="0543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0909315F">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1B90F53D">
            <w:pPr>
              <w:pStyle w:val="2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4A2ACFAA">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谈判文件规定的技术参数要求</w:t>
            </w:r>
          </w:p>
        </w:tc>
        <w:tc>
          <w:tcPr>
            <w:tcW w:w="1456" w:type="pct"/>
            <w:vAlign w:val="center"/>
          </w:tcPr>
          <w:p w14:paraId="1C358722">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6F05FF1D">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2289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F961A6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5FD00424">
            <w:pPr>
              <w:jc w:val="center"/>
              <w:rPr>
                <w:rFonts w:asciiTheme="minorEastAsia" w:hAnsiTheme="minorEastAsia" w:eastAsiaTheme="minorEastAsia"/>
                <w:color w:val="auto"/>
                <w:sz w:val="24"/>
                <w:highlight w:val="none"/>
              </w:rPr>
            </w:pPr>
          </w:p>
        </w:tc>
        <w:tc>
          <w:tcPr>
            <w:tcW w:w="1680" w:type="pct"/>
            <w:vAlign w:val="center"/>
          </w:tcPr>
          <w:p w14:paraId="204CC9F3">
            <w:pPr>
              <w:jc w:val="center"/>
              <w:rPr>
                <w:rFonts w:asciiTheme="minorEastAsia" w:hAnsiTheme="minorEastAsia" w:eastAsiaTheme="minorEastAsia"/>
                <w:color w:val="auto"/>
                <w:sz w:val="24"/>
                <w:highlight w:val="none"/>
              </w:rPr>
            </w:pPr>
          </w:p>
        </w:tc>
        <w:tc>
          <w:tcPr>
            <w:tcW w:w="1456" w:type="pct"/>
            <w:vAlign w:val="center"/>
          </w:tcPr>
          <w:p w14:paraId="65B22140">
            <w:pPr>
              <w:jc w:val="center"/>
              <w:rPr>
                <w:rFonts w:asciiTheme="minorEastAsia" w:hAnsiTheme="minorEastAsia" w:eastAsiaTheme="minorEastAsia"/>
                <w:color w:val="auto"/>
                <w:sz w:val="24"/>
                <w:highlight w:val="none"/>
              </w:rPr>
            </w:pPr>
          </w:p>
        </w:tc>
        <w:tc>
          <w:tcPr>
            <w:tcW w:w="502" w:type="pct"/>
            <w:vAlign w:val="center"/>
          </w:tcPr>
          <w:p w14:paraId="33BE3A42">
            <w:pPr>
              <w:jc w:val="center"/>
              <w:rPr>
                <w:rFonts w:asciiTheme="minorEastAsia" w:hAnsiTheme="minorEastAsia" w:eastAsiaTheme="minorEastAsia"/>
                <w:color w:val="auto"/>
                <w:sz w:val="24"/>
                <w:highlight w:val="none"/>
              </w:rPr>
            </w:pPr>
          </w:p>
        </w:tc>
      </w:tr>
      <w:tr w14:paraId="6EE19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5883500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51F7F34F">
            <w:pPr>
              <w:jc w:val="center"/>
              <w:rPr>
                <w:rFonts w:asciiTheme="minorEastAsia" w:hAnsiTheme="minorEastAsia" w:eastAsiaTheme="minorEastAsia"/>
                <w:color w:val="auto"/>
                <w:sz w:val="24"/>
                <w:highlight w:val="none"/>
              </w:rPr>
            </w:pPr>
          </w:p>
        </w:tc>
        <w:tc>
          <w:tcPr>
            <w:tcW w:w="1680" w:type="pct"/>
            <w:vAlign w:val="center"/>
          </w:tcPr>
          <w:p w14:paraId="75D37818">
            <w:pPr>
              <w:jc w:val="center"/>
              <w:rPr>
                <w:rFonts w:asciiTheme="minorEastAsia" w:hAnsiTheme="minorEastAsia" w:eastAsiaTheme="minorEastAsia"/>
                <w:color w:val="auto"/>
                <w:sz w:val="24"/>
                <w:highlight w:val="none"/>
              </w:rPr>
            </w:pPr>
          </w:p>
        </w:tc>
        <w:tc>
          <w:tcPr>
            <w:tcW w:w="1456" w:type="pct"/>
            <w:vAlign w:val="center"/>
          </w:tcPr>
          <w:p w14:paraId="182DA822">
            <w:pPr>
              <w:jc w:val="center"/>
              <w:rPr>
                <w:rFonts w:asciiTheme="minorEastAsia" w:hAnsiTheme="minorEastAsia" w:eastAsiaTheme="minorEastAsia"/>
                <w:color w:val="auto"/>
                <w:sz w:val="24"/>
                <w:highlight w:val="none"/>
              </w:rPr>
            </w:pPr>
          </w:p>
        </w:tc>
        <w:tc>
          <w:tcPr>
            <w:tcW w:w="502" w:type="pct"/>
            <w:vAlign w:val="center"/>
          </w:tcPr>
          <w:p w14:paraId="30226CCD">
            <w:pPr>
              <w:jc w:val="center"/>
              <w:rPr>
                <w:rFonts w:asciiTheme="minorEastAsia" w:hAnsiTheme="minorEastAsia" w:eastAsiaTheme="minorEastAsia"/>
                <w:color w:val="auto"/>
                <w:sz w:val="24"/>
                <w:highlight w:val="none"/>
              </w:rPr>
            </w:pPr>
          </w:p>
        </w:tc>
      </w:tr>
      <w:tr w14:paraId="1D89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E8E1AA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3B9D5C81">
            <w:pPr>
              <w:jc w:val="center"/>
              <w:rPr>
                <w:rFonts w:asciiTheme="minorEastAsia" w:hAnsiTheme="minorEastAsia" w:eastAsiaTheme="minorEastAsia"/>
                <w:color w:val="auto"/>
                <w:sz w:val="24"/>
                <w:highlight w:val="none"/>
              </w:rPr>
            </w:pPr>
          </w:p>
        </w:tc>
        <w:tc>
          <w:tcPr>
            <w:tcW w:w="1680" w:type="pct"/>
            <w:vAlign w:val="center"/>
          </w:tcPr>
          <w:p w14:paraId="23ACC471">
            <w:pPr>
              <w:jc w:val="center"/>
              <w:rPr>
                <w:rFonts w:asciiTheme="minorEastAsia" w:hAnsiTheme="minorEastAsia" w:eastAsiaTheme="minorEastAsia"/>
                <w:color w:val="auto"/>
                <w:sz w:val="24"/>
                <w:highlight w:val="none"/>
              </w:rPr>
            </w:pPr>
          </w:p>
        </w:tc>
        <w:tc>
          <w:tcPr>
            <w:tcW w:w="1456" w:type="pct"/>
            <w:vAlign w:val="center"/>
          </w:tcPr>
          <w:p w14:paraId="3AD370F2">
            <w:pPr>
              <w:pStyle w:val="134"/>
              <w:jc w:val="center"/>
              <w:rPr>
                <w:rFonts w:asciiTheme="minorEastAsia" w:hAnsiTheme="minorEastAsia" w:eastAsiaTheme="minorEastAsia"/>
                <w:color w:val="auto"/>
                <w:highlight w:val="none"/>
              </w:rPr>
            </w:pPr>
          </w:p>
        </w:tc>
        <w:tc>
          <w:tcPr>
            <w:tcW w:w="502" w:type="pct"/>
            <w:vAlign w:val="center"/>
          </w:tcPr>
          <w:p w14:paraId="133B7808">
            <w:pPr>
              <w:jc w:val="center"/>
              <w:rPr>
                <w:rFonts w:asciiTheme="minorEastAsia" w:hAnsiTheme="minorEastAsia" w:eastAsiaTheme="minorEastAsia"/>
                <w:color w:val="auto"/>
                <w:sz w:val="24"/>
                <w:highlight w:val="none"/>
              </w:rPr>
            </w:pPr>
          </w:p>
        </w:tc>
      </w:tr>
      <w:tr w14:paraId="318D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02B093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5A40E795">
            <w:pPr>
              <w:jc w:val="center"/>
              <w:rPr>
                <w:rFonts w:asciiTheme="minorEastAsia" w:hAnsiTheme="minorEastAsia" w:eastAsiaTheme="minorEastAsia"/>
                <w:color w:val="auto"/>
                <w:sz w:val="24"/>
                <w:highlight w:val="none"/>
              </w:rPr>
            </w:pPr>
          </w:p>
        </w:tc>
        <w:tc>
          <w:tcPr>
            <w:tcW w:w="1680" w:type="pct"/>
            <w:vAlign w:val="center"/>
          </w:tcPr>
          <w:p w14:paraId="4BE5CC14">
            <w:pPr>
              <w:jc w:val="center"/>
              <w:rPr>
                <w:rFonts w:asciiTheme="minorEastAsia" w:hAnsiTheme="minorEastAsia" w:eastAsiaTheme="minorEastAsia"/>
                <w:color w:val="auto"/>
                <w:sz w:val="24"/>
                <w:highlight w:val="none"/>
              </w:rPr>
            </w:pPr>
          </w:p>
        </w:tc>
        <w:tc>
          <w:tcPr>
            <w:tcW w:w="1456" w:type="pct"/>
            <w:vAlign w:val="center"/>
          </w:tcPr>
          <w:p w14:paraId="5DC6F3AD">
            <w:pPr>
              <w:pStyle w:val="134"/>
              <w:jc w:val="center"/>
              <w:rPr>
                <w:rFonts w:asciiTheme="minorEastAsia" w:hAnsiTheme="minorEastAsia" w:eastAsiaTheme="minorEastAsia"/>
                <w:color w:val="auto"/>
                <w:highlight w:val="none"/>
              </w:rPr>
            </w:pPr>
          </w:p>
        </w:tc>
        <w:tc>
          <w:tcPr>
            <w:tcW w:w="502" w:type="pct"/>
            <w:vAlign w:val="center"/>
          </w:tcPr>
          <w:p w14:paraId="31766E88">
            <w:pPr>
              <w:jc w:val="center"/>
              <w:rPr>
                <w:rFonts w:asciiTheme="minorEastAsia" w:hAnsiTheme="minorEastAsia" w:eastAsiaTheme="minorEastAsia"/>
                <w:color w:val="auto"/>
                <w:sz w:val="24"/>
                <w:highlight w:val="none"/>
              </w:rPr>
            </w:pPr>
          </w:p>
        </w:tc>
      </w:tr>
      <w:tr w14:paraId="2F11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1E51DE7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5BF40265">
            <w:pPr>
              <w:jc w:val="center"/>
              <w:rPr>
                <w:rFonts w:asciiTheme="minorEastAsia" w:hAnsiTheme="minorEastAsia" w:eastAsiaTheme="minorEastAsia"/>
                <w:color w:val="auto"/>
                <w:sz w:val="24"/>
                <w:highlight w:val="none"/>
              </w:rPr>
            </w:pPr>
          </w:p>
        </w:tc>
        <w:tc>
          <w:tcPr>
            <w:tcW w:w="1680" w:type="pct"/>
            <w:vAlign w:val="center"/>
          </w:tcPr>
          <w:p w14:paraId="05A94FF2">
            <w:pPr>
              <w:jc w:val="center"/>
              <w:rPr>
                <w:rFonts w:asciiTheme="minorEastAsia" w:hAnsiTheme="minorEastAsia" w:eastAsiaTheme="minorEastAsia"/>
                <w:color w:val="auto"/>
                <w:sz w:val="24"/>
                <w:highlight w:val="none"/>
              </w:rPr>
            </w:pPr>
          </w:p>
        </w:tc>
        <w:tc>
          <w:tcPr>
            <w:tcW w:w="1456" w:type="pct"/>
            <w:vAlign w:val="center"/>
          </w:tcPr>
          <w:p w14:paraId="6CE5989E">
            <w:pPr>
              <w:jc w:val="center"/>
              <w:rPr>
                <w:rFonts w:asciiTheme="minorEastAsia" w:hAnsiTheme="minorEastAsia" w:eastAsiaTheme="minorEastAsia"/>
                <w:color w:val="auto"/>
                <w:sz w:val="24"/>
                <w:highlight w:val="none"/>
              </w:rPr>
            </w:pPr>
          </w:p>
        </w:tc>
        <w:tc>
          <w:tcPr>
            <w:tcW w:w="502" w:type="pct"/>
            <w:vAlign w:val="center"/>
          </w:tcPr>
          <w:p w14:paraId="292D550E">
            <w:pPr>
              <w:jc w:val="center"/>
              <w:rPr>
                <w:rFonts w:asciiTheme="minorEastAsia" w:hAnsiTheme="minorEastAsia" w:eastAsiaTheme="minorEastAsia"/>
                <w:color w:val="auto"/>
                <w:sz w:val="24"/>
                <w:highlight w:val="none"/>
              </w:rPr>
            </w:pPr>
          </w:p>
        </w:tc>
      </w:tr>
    </w:tbl>
    <w:p w14:paraId="0F6DCE0D">
      <w:pPr>
        <w:spacing w:line="360" w:lineRule="auto"/>
        <w:ind w:firstLine="4800" w:firstLineChars="2000"/>
        <w:rPr>
          <w:rFonts w:hint="eastAsia" w:ascii="宋体" w:hAnsi="宋体" w:eastAsia="宋体"/>
          <w:color w:val="auto"/>
          <w:sz w:val="24"/>
          <w:highlight w:val="none"/>
          <w:lang w:val="en-US" w:eastAsia="zh-CN"/>
        </w:rPr>
      </w:pPr>
    </w:p>
    <w:p w14:paraId="545CF7A0">
      <w:pPr>
        <w:spacing w:line="360" w:lineRule="auto"/>
        <w:ind w:firstLine="4800" w:firstLineChars="2000"/>
        <w:jc w:val="both"/>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13E0982">
      <w:pPr>
        <w:spacing w:line="360" w:lineRule="auto"/>
        <w:ind w:firstLine="4800" w:firstLineChars="2000"/>
        <w:jc w:val="both"/>
        <w:rPr>
          <w:rFonts w:ascii="宋体" w:hAnsi="宋体" w:eastAsia="宋体"/>
          <w:color w:val="auto"/>
          <w:sz w:val="24"/>
          <w:szCs w:val="28"/>
          <w:highlight w:val="non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FAB0055">
      <w:pPr>
        <w:pStyle w:val="23"/>
        <w:spacing w:line="360" w:lineRule="auto"/>
        <w:rPr>
          <w:rFonts w:asciiTheme="minorEastAsia" w:hAnsiTheme="minorEastAsia" w:eastAsiaTheme="minorEastAsia"/>
          <w:color w:val="auto"/>
          <w:sz w:val="24"/>
          <w:highlight w:val="none"/>
        </w:rPr>
      </w:pPr>
    </w:p>
    <w:p w14:paraId="7659C5C6">
      <w:pPr>
        <w:pStyle w:val="23"/>
        <w:spacing w:line="360" w:lineRule="auto"/>
        <w:rPr>
          <w:rFonts w:asciiTheme="minorEastAsia" w:hAnsiTheme="minorEastAsia" w:eastAsiaTheme="minorEastAsia"/>
          <w:color w:val="auto"/>
          <w:sz w:val="24"/>
          <w:highlight w:val="none"/>
        </w:rPr>
      </w:pPr>
    </w:p>
    <w:p w14:paraId="536E3D72">
      <w:pPr>
        <w:pStyle w:val="23"/>
        <w:spacing w:line="360" w:lineRule="auto"/>
        <w:rPr>
          <w:rFonts w:asciiTheme="minorEastAsia" w:hAnsiTheme="minorEastAsia" w:eastAsiaTheme="minorEastAsia"/>
          <w:color w:val="auto"/>
          <w:sz w:val="24"/>
          <w:highlight w:val="none"/>
        </w:rPr>
      </w:pPr>
    </w:p>
    <w:p w14:paraId="6D8E380C">
      <w:pPr>
        <w:pStyle w:val="23"/>
        <w:spacing w:line="360" w:lineRule="auto"/>
        <w:rPr>
          <w:rFonts w:hint="eastAsia" w:asciiTheme="minorEastAsia" w:hAnsiTheme="minorEastAsia" w:eastAsiaTheme="minorEastAsia"/>
          <w:b/>
          <w:color w:val="auto"/>
          <w:sz w:val="24"/>
          <w:highlight w:val="none"/>
        </w:rPr>
      </w:pPr>
      <w:r>
        <w:rPr>
          <w:rFonts w:asciiTheme="minorEastAsia" w:hAnsiTheme="minorEastAsia" w:eastAsiaTheme="minorEastAsia"/>
          <w:color w:val="auto"/>
          <w:sz w:val="24"/>
          <w:highlight w:val="none"/>
        </w:rPr>
        <w:br w:type="page"/>
      </w:r>
      <w:bookmarkStart w:id="91" w:name="_Toc21170"/>
      <w:bookmarkStart w:id="92" w:name="_Toc8563"/>
    </w:p>
    <w:p w14:paraId="3273AE16">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、诚信履约承诺函</w:t>
      </w:r>
      <w:bookmarkEnd w:id="91"/>
      <w:bookmarkEnd w:id="92"/>
    </w:p>
    <w:p w14:paraId="06DD8117">
      <w:pPr>
        <w:spacing w:line="360" w:lineRule="auto"/>
        <w:rPr>
          <w:rFonts w:asciiTheme="minorEastAsia" w:hAnsiTheme="minorEastAsia" w:eastAsiaTheme="minorEastAsia"/>
          <w:b/>
          <w:bCs/>
          <w:color w:val="auto"/>
          <w:sz w:val="24"/>
          <w:highlight w:val="none"/>
        </w:rPr>
      </w:pPr>
    </w:p>
    <w:p w14:paraId="7384E672">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7AE3618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5F9CAC5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3610290">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7FA3EAF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7AC568E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7C37650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369C05C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7020AFF">
      <w:pPr>
        <w:spacing w:line="360" w:lineRule="auto"/>
        <w:rPr>
          <w:rFonts w:asciiTheme="minorEastAsia" w:hAnsiTheme="minorEastAsia" w:eastAsiaTheme="minorEastAsia"/>
          <w:bCs/>
          <w:color w:val="auto"/>
          <w:sz w:val="24"/>
          <w:highlight w:val="none"/>
        </w:rPr>
      </w:pPr>
    </w:p>
    <w:p w14:paraId="5B20DCA8">
      <w:pPr>
        <w:spacing w:line="360" w:lineRule="auto"/>
        <w:rPr>
          <w:rFonts w:asciiTheme="minorEastAsia" w:hAnsiTheme="minorEastAsia" w:eastAsiaTheme="minorEastAsia"/>
          <w:bCs/>
          <w:color w:val="auto"/>
          <w:sz w:val="24"/>
          <w:highlight w:val="none"/>
        </w:rPr>
      </w:pPr>
    </w:p>
    <w:p w14:paraId="4D0E9EB9">
      <w:pPr>
        <w:spacing w:line="360" w:lineRule="auto"/>
        <w:ind w:firstLine="4800" w:firstLineChars="20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lang w:val="en-US" w:eastAsia="zh-CN"/>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E90B1C4">
      <w:pPr>
        <w:spacing w:line="360" w:lineRule="auto"/>
        <w:ind w:firstLine="4800" w:firstLineChars="20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lang w:val="en-US" w:eastAsia="zh-CN"/>
        </w:rPr>
        <w:t xml:space="preserve">   </w:t>
      </w:r>
      <w:r>
        <w:rPr>
          <w:rFonts w:hint="eastAsia" w:asciiTheme="minorEastAsia" w:hAnsiTheme="minorEastAsia" w:eastAsiaTheme="minorEastAsia"/>
          <w:bCs/>
          <w:color w:val="auto"/>
          <w:sz w:val="24"/>
          <w:highlight w:val="none"/>
          <w:u w:val="single"/>
        </w:rPr>
        <w:t xml:space="preserve">       </w:t>
      </w:r>
    </w:p>
    <w:p w14:paraId="5E58A13F">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2D3A43DA">
      <w:pPr>
        <w:spacing w:line="360" w:lineRule="auto"/>
        <w:jc w:val="center"/>
        <w:outlineLvl w:val="1"/>
        <w:rPr>
          <w:rFonts w:asciiTheme="minorEastAsia" w:hAnsiTheme="minorEastAsia" w:eastAsiaTheme="minorEastAsia"/>
          <w:b/>
          <w:color w:val="auto"/>
          <w:sz w:val="24"/>
          <w:highlight w:val="none"/>
        </w:rPr>
      </w:pPr>
      <w:bookmarkStart w:id="93" w:name="_Toc28661"/>
      <w:bookmarkStart w:id="94" w:name="_Toc29042"/>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、其他相关证明材料</w:t>
      </w:r>
      <w:bookmarkEnd w:id="93"/>
      <w:bookmarkEnd w:id="94"/>
    </w:p>
    <w:p w14:paraId="0A4B5200">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提供符合谈判邀请、采购需求及评审方法和标准规定的相关证明文件。</w:t>
      </w:r>
    </w:p>
    <w:p w14:paraId="46D87CC1">
      <w:pPr>
        <w:spacing w:line="360" w:lineRule="auto"/>
        <w:ind w:firstLine="435"/>
        <w:rPr>
          <w:rFonts w:asciiTheme="minorEastAsia" w:hAnsiTheme="minorEastAsia" w:eastAsiaTheme="minorEastAsia"/>
          <w:color w:val="auto"/>
          <w:sz w:val="24"/>
          <w:highlight w:val="none"/>
        </w:rPr>
      </w:pPr>
    </w:p>
    <w:p w14:paraId="6FE8AC61">
      <w:pPr>
        <w:spacing w:line="360" w:lineRule="auto"/>
        <w:ind w:firstLine="480" w:firstLineChars="200"/>
        <w:rPr>
          <w:rFonts w:asciiTheme="minorEastAsia" w:hAnsiTheme="minorEastAsia" w:eastAsiaTheme="minorEastAsia"/>
          <w:color w:val="auto"/>
          <w:sz w:val="24"/>
          <w:highlight w:val="none"/>
        </w:rPr>
      </w:pPr>
    </w:p>
    <w:p w14:paraId="2EF1AB3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374680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供应商在响应文件制作时可在此栏内上传谈判文件要求上传的证明资料，如营业执照、证书</w:t>
      </w:r>
      <w:r>
        <w:rPr>
          <w:rFonts w:asciiTheme="minorEastAsia" w:hAnsiTheme="minorEastAsia" w:eastAsiaTheme="minorEastAsia"/>
          <w:color w:val="auto"/>
          <w:sz w:val="24"/>
          <w:highlight w:val="none"/>
        </w:rPr>
        <w:t>等，应将上述证明材料制作成扫描件上传。</w:t>
      </w:r>
    </w:p>
    <w:p w14:paraId="5E368AA1">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1813F29B">
      <w:pPr>
        <w:spacing w:line="360" w:lineRule="auto"/>
        <w:jc w:val="center"/>
        <w:outlineLvl w:val="0"/>
        <w:rPr>
          <w:rFonts w:ascii="宋体" w:hAnsi="宋体" w:eastAsia="宋体"/>
          <w:b/>
          <w:bCs/>
          <w:color w:val="auto"/>
          <w:sz w:val="28"/>
          <w:highlight w:val="none"/>
        </w:rPr>
      </w:pPr>
      <w:bookmarkStart w:id="95" w:name="_Toc60608832"/>
      <w:bookmarkStart w:id="96" w:name="_Toc10319"/>
      <w:bookmarkStart w:id="97" w:name="_Toc11034"/>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w:t>
      </w:r>
      <w:r>
        <w:rPr>
          <w:rFonts w:hint="eastAsia"/>
          <w:b/>
          <w:bCs/>
          <w:color w:val="auto"/>
          <w:sz w:val="28"/>
          <w:highlight w:val="none"/>
        </w:rPr>
        <w:t xml:space="preserve">  </w:t>
      </w:r>
      <w:bookmarkEnd w:id="95"/>
      <w:r>
        <w:rPr>
          <w:rFonts w:hint="eastAsia" w:ascii="宋体" w:hAnsi="宋体" w:eastAsia="宋体"/>
          <w:b/>
          <w:bCs/>
          <w:color w:val="auto"/>
          <w:sz w:val="28"/>
          <w:highlight w:val="none"/>
        </w:rPr>
        <w:t>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96"/>
      <w:bookmarkEnd w:id="97"/>
    </w:p>
    <w:p w14:paraId="52C2F990">
      <w:pPr>
        <w:spacing w:line="360" w:lineRule="auto"/>
        <w:jc w:val="center"/>
        <w:outlineLvl w:val="1"/>
        <w:rPr>
          <w:rFonts w:ascii="仿宋" w:hAnsi="仿宋" w:eastAsia="仿宋" w:cs="仿宋"/>
          <w:b/>
          <w:bCs/>
          <w:color w:val="auto"/>
          <w:sz w:val="32"/>
          <w:szCs w:val="44"/>
          <w:highlight w:val="none"/>
        </w:rPr>
      </w:pPr>
      <w:bookmarkStart w:id="98" w:name="_Toc12954"/>
      <w:r>
        <w:rPr>
          <w:rFonts w:hint="eastAsia" w:ascii="仿宋" w:hAnsi="仿宋" w:eastAsia="仿宋" w:cs="仿宋"/>
          <w:b/>
          <w:bCs/>
          <w:color w:val="auto"/>
          <w:sz w:val="32"/>
          <w:szCs w:val="44"/>
          <w:highlight w:val="none"/>
        </w:rPr>
        <w:t>询问函范本</w:t>
      </w:r>
      <w:bookmarkEnd w:id="98"/>
    </w:p>
    <w:p w14:paraId="7B2BEF5B">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（如为对采购文件或采购程序的询问或疑问，请按询问函范本进行提交）</w:t>
      </w:r>
    </w:p>
    <w:p w14:paraId="44C84209">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3CC1BCB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i/>
          <w:iCs/>
          <w:color w:val="auto"/>
          <w:sz w:val="24"/>
          <w:szCs w:val="24"/>
          <w:highlight w:val="none"/>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30E169F4">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99" w:name="_Toc29009"/>
      <w:bookmarkStart w:id="100" w:name="_Toc23584"/>
      <w:r>
        <w:rPr>
          <w:rFonts w:hint="eastAsia" w:cs="仿宋" w:asciiTheme="minorEastAsia" w:hAnsiTheme="minorEastAsia" w:eastAsiaTheme="minorEastAsia"/>
          <w:color w:val="auto"/>
          <w:sz w:val="24"/>
          <w:szCs w:val="24"/>
          <w:highlight w:val="none"/>
        </w:rPr>
        <w:t>一、(事项一)</w:t>
      </w:r>
      <w:bookmarkEnd w:id="99"/>
      <w:bookmarkEnd w:id="100"/>
    </w:p>
    <w:p w14:paraId="1206791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1622C8F9">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398E780">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12683B2">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01" w:name="_Toc18220"/>
      <w:bookmarkStart w:id="102" w:name="_Toc16254"/>
      <w:r>
        <w:rPr>
          <w:rFonts w:hint="eastAsia" w:cs="仿宋" w:asciiTheme="minorEastAsia" w:hAnsiTheme="minorEastAsia" w:eastAsiaTheme="minorEastAsia"/>
          <w:color w:val="auto"/>
          <w:sz w:val="24"/>
          <w:szCs w:val="24"/>
          <w:highlight w:val="none"/>
        </w:rPr>
        <w:t>二、(事项二)</w:t>
      </w:r>
      <w:bookmarkEnd w:id="101"/>
      <w:bookmarkEnd w:id="102"/>
    </w:p>
    <w:p w14:paraId="2A89469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6A2789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6D8D8A9E">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2336C1B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7185F720">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7F9D099C">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A80391F">
      <w:pPr>
        <w:jc w:val="center"/>
        <w:outlineLvl w:val="1"/>
        <w:rPr>
          <w:rFonts w:ascii="仿宋" w:hAnsi="仿宋" w:eastAsia="仿宋" w:cs="仿宋"/>
          <w:b/>
          <w:bCs/>
          <w:color w:val="auto"/>
          <w:sz w:val="32"/>
          <w:szCs w:val="44"/>
          <w:highlight w:val="none"/>
        </w:rPr>
      </w:pPr>
      <w:bookmarkStart w:id="103" w:name="_Toc6176"/>
      <w:bookmarkStart w:id="104" w:name="_Toc18073"/>
      <w:r>
        <w:rPr>
          <w:rFonts w:hint="eastAsia" w:ascii="仿宋" w:hAnsi="仿宋" w:eastAsia="仿宋" w:cs="仿宋"/>
          <w:b/>
          <w:bCs/>
          <w:color w:val="auto"/>
          <w:sz w:val="32"/>
          <w:szCs w:val="44"/>
          <w:highlight w:val="none"/>
        </w:rPr>
        <w:t>质疑函范本</w:t>
      </w:r>
      <w:bookmarkEnd w:id="103"/>
      <w:bookmarkEnd w:id="104"/>
    </w:p>
    <w:p w14:paraId="61F0E2E6">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05" w:name="_Toc21548"/>
      <w:bookmarkStart w:id="106" w:name="_Toc17682"/>
      <w:r>
        <w:rPr>
          <w:rFonts w:hint="eastAsia" w:cs="仿宋" w:asciiTheme="minorEastAsia" w:hAnsiTheme="minorEastAsia" w:eastAsiaTheme="minorEastAsia"/>
          <w:b/>
          <w:bCs/>
          <w:color w:val="auto"/>
          <w:sz w:val="24"/>
          <w:szCs w:val="24"/>
          <w:highlight w:val="none"/>
        </w:rPr>
        <w:t>一、质疑供应商基本信息</w:t>
      </w:r>
      <w:bookmarkEnd w:id="105"/>
      <w:bookmarkEnd w:id="106"/>
    </w:p>
    <w:p w14:paraId="2AF0DBA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26FAFC7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60D963E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6C6871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30DCAEE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50B7C2E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0AE9B0A6">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07" w:name="_Toc9149"/>
      <w:bookmarkStart w:id="108" w:name="_Toc5180"/>
      <w:r>
        <w:rPr>
          <w:rFonts w:hint="eastAsia" w:cs="仿宋" w:asciiTheme="minorEastAsia" w:hAnsiTheme="minorEastAsia" w:eastAsiaTheme="minorEastAsia"/>
          <w:b/>
          <w:bCs/>
          <w:color w:val="auto"/>
          <w:sz w:val="24"/>
          <w:szCs w:val="24"/>
          <w:highlight w:val="none"/>
        </w:rPr>
        <w:t>二、质疑项目基本情况</w:t>
      </w:r>
      <w:bookmarkEnd w:id="107"/>
      <w:bookmarkEnd w:id="108"/>
    </w:p>
    <w:p w14:paraId="1FB9750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BBDA0A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018043D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46A10C5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78B7566F">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09" w:name="_Toc14494"/>
      <w:bookmarkStart w:id="110" w:name="_Toc29996"/>
      <w:r>
        <w:rPr>
          <w:rFonts w:hint="eastAsia" w:cs="仿宋" w:asciiTheme="minorEastAsia" w:hAnsiTheme="minorEastAsia" w:eastAsiaTheme="minorEastAsia"/>
          <w:b/>
          <w:bCs/>
          <w:color w:val="auto"/>
          <w:sz w:val="24"/>
          <w:szCs w:val="24"/>
          <w:highlight w:val="none"/>
        </w:rPr>
        <w:t>三、质疑事项具体内容</w:t>
      </w:r>
      <w:bookmarkEnd w:id="109"/>
      <w:bookmarkEnd w:id="110"/>
    </w:p>
    <w:p w14:paraId="474E60C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50A7D28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41AA09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1179BF0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6E76952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1F7C1F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EFF7F0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CEBB415">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11" w:name="_Toc7296"/>
      <w:bookmarkStart w:id="112" w:name="_Toc814"/>
      <w:r>
        <w:rPr>
          <w:rFonts w:hint="eastAsia" w:cs="仿宋" w:asciiTheme="minorEastAsia" w:hAnsiTheme="minorEastAsia" w:eastAsiaTheme="minorEastAsia"/>
          <w:b/>
          <w:bCs/>
          <w:color w:val="auto"/>
          <w:sz w:val="24"/>
          <w:szCs w:val="24"/>
          <w:highlight w:val="none"/>
        </w:rPr>
        <w:t>四、与质疑事项相关的质疑请求</w:t>
      </w:r>
      <w:bookmarkEnd w:id="111"/>
      <w:bookmarkEnd w:id="112"/>
    </w:p>
    <w:p w14:paraId="1919D2F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27867F59">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5F5DFEE">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5BDEF8E">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21544C37">
      <w:pPr>
        <w:outlineLvl w:val="0"/>
        <w:rPr>
          <w:rFonts w:asciiTheme="minorEastAsia" w:hAnsiTheme="minorEastAsia" w:eastAsiaTheme="minorEastAsia"/>
          <w:b/>
          <w:color w:val="auto"/>
          <w:sz w:val="28"/>
          <w:szCs w:val="32"/>
          <w:highlight w:val="none"/>
        </w:rPr>
      </w:pPr>
      <w:bookmarkStart w:id="113" w:name="_Toc26567"/>
      <w:bookmarkStart w:id="114" w:name="_Toc3093"/>
      <w:r>
        <w:rPr>
          <w:rFonts w:hint="eastAsia" w:asciiTheme="minorEastAsia" w:hAnsiTheme="minorEastAsia" w:eastAsiaTheme="minorEastAsia"/>
          <w:b/>
          <w:color w:val="auto"/>
          <w:sz w:val="28"/>
          <w:szCs w:val="32"/>
          <w:highlight w:val="none"/>
        </w:rPr>
        <w:t>质疑函制作说明：</w:t>
      </w:r>
      <w:bookmarkEnd w:id="113"/>
      <w:bookmarkEnd w:id="114"/>
    </w:p>
    <w:p w14:paraId="3B9146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C2A095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8D585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D42344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50E2E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3F2CCB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7D7C5E41">
      <w:pPr>
        <w:jc w:val="center"/>
        <w:rPr>
          <w:rFonts w:hint="eastAsia" w:ascii="宋体" w:hAnsi="宋体" w:cs="宋体"/>
          <w:b/>
          <w:color w:val="auto"/>
          <w:sz w:val="32"/>
          <w:szCs w:val="32"/>
          <w:highlight w:val="none"/>
        </w:rPr>
      </w:pPr>
    </w:p>
    <w:p w14:paraId="6BC2BD45">
      <w:pPr>
        <w:pStyle w:val="16"/>
        <w:rPr>
          <w:rFonts w:hint="eastAsia" w:ascii="宋体" w:hAnsi="宋体" w:cs="宋体"/>
          <w:b/>
          <w:color w:val="auto"/>
          <w:sz w:val="32"/>
          <w:szCs w:val="32"/>
          <w:highlight w:val="none"/>
        </w:rPr>
      </w:pPr>
    </w:p>
    <w:p w14:paraId="3A98E7C4">
      <w:pPr>
        <w:pStyle w:val="16"/>
        <w:rPr>
          <w:rFonts w:hint="eastAsia" w:ascii="宋体" w:hAnsi="宋体" w:cs="宋体"/>
          <w:b/>
          <w:color w:val="auto"/>
          <w:sz w:val="32"/>
          <w:szCs w:val="32"/>
          <w:highlight w:val="none"/>
        </w:rPr>
      </w:pPr>
    </w:p>
    <w:p w14:paraId="418445C0">
      <w:pPr>
        <w:pStyle w:val="16"/>
        <w:rPr>
          <w:rFonts w:hint="eastAsia" w:ascii="宋体" w:hAnsi="宋体" w:cs="宋体"/>
          <w:b/>
          <w:color w:val="auto"/>
          <w:sz w:val="32"/>
          <w:szCs w:val="32"/>
          <w:highlight w:val="none"/>
        </w:rPr>
      </w:pPr>
    </w:p>
    <w:p w14:paraId="57CF8530">
      <w:pPr>
        <w:pStyle w:val="16"/>
        <w:rPr>
          <w:rFonts w:hint="eastAsia" w:ascii="宋体" w:hAnsi="宋体" w:cs="宋体"/>
          <w:b/>
          <w:color w:val="auto"/>
          <w:sz w:val="32"/>
          <w:szCs w:val="32"/>
          <w:highlight w:val="none"/>
        </w:rPr>
      </w:pPr>
    </w:p>
    <w:p w14:paraId="01DD3589">
      <w:pPr>
        <w:pStyle w:val="16"/>
        <w:rPr>
          <w:rFonts w:hint="eastAsia" w:ascii="宋体" w:hAnsi="宋体" w:cs="宋体"/>
          <w:b/>
          <w:color w:val="auto"/>
          <w:sz w:val="32"/>
          <w:szCs w:val="32"/>
          <w:highlight w:val="none"/>
        </w:rPr>
      </w:pPr>
    </w:p>
    <w:p w14:paraId="299CA793">
      <w:pPr>
        <w:pStyle w:val="16"/>
        <w:rPr>
          <w:rFonts w:hint="eastAsia" w:ascii="宋体" w:hAnsi="宋体" w:cs="宋体"/>
          <w:b/>
          <w:color w:val="auto"/>
          <w:sz w:val="32"/>
          <w:szCs w:val="32"/>
          <w:highlight w:val="none"/>
        </w:rPr>
      </w:pPr>
    </w:p>
    <w:p w14:paraId="22B07CAA">
      <w:pPr>
        <w:pStyle w:val="16"/>
        <w:rPr>
          <w:rFonts w:hint="eastAsia" w:ascii="宋体" w:hAnsi="宋体" w:cs="宋体"/>
          <w:b/>
          <w:color w:val="auto"/>
          <w:sz w:val="32"/>
          <w:szCs w:val="32"/>
          <w:highlight w:val="none"/>
        </w:rPr>
      </w:pPr>
    </w:p>
    <w:p w14:paraId="2FCC9A3E">
      <w:pPr>
        <w:pStyle w:val="16"/>
        <w:rPr>
          <w:rFonts w:hint="eastAsia" w:ascii="宋体" w:hAnsi="宋体" w:cs="宋体"/>
          <w:b/>
          <w:color w:val="auto"/>
          <w:sz w:val="32"/>
          <w:szCs w:val="32"/>
          <w:highlight w:val="none"/>
        </w:rPr>
      </w:pPr>
    </w:p>
    <w:p w14:paraId="66C3C198">
      <w:pPr>
        <w:pStyle w:val="16"/>
        <w:rPr>
          <w:rFonts w:hint="eastAsia" w:ascii="宋体" w:hAnsi="宋体" w:cs="宋体"/>
          <w:b/>
          <w:color w:val="auto"/>
          <w:sz w:val="32"/>
          <w:szCs w:val="32"/>
          <w:highlight w:val="none"/>
        </w:rPr>
      </w:pPr>
    </w:p>
    <w:p w14:paraId="1F7F2FB3">
      <w:pPr>
        <w:pStyle w:val="16"/>
        <w:rPr>
          <w:rFonts w:hint="eastAsia" w:ascii="宋体" w:hAnsi="宋体" w:cs="宋体"/>
          <w:b/>
          <w:color w:val="auto"/>
          <w:sz w:val="32"/>
          <w:szCs w:val="32"/>
          <w:highlight w:val="none"/>
        </w:rPr>
      </w:pPr>
    </w:p>
    <w:p w14:paraId="242B72DC">
      <w:pPr>
        <w:keepNext w:val="0"/>
        <w:keepLines w:val="0"/>
        <w:pageBreakBefore w:val="0"/>
        <w:widowControl w:val="0"/>
        <w:kinsoku/>
        <w:wordWrap/>
        <w:overflowPunct/>
        <w:topLinePunct w:val="0"/>
        <w:autoSpaceDE/>
        <w:autoSpaceDN/>
        <w:bidi w:val="0"/>
        <w:adjustRightInd/>
        <w:snapToGrid/>
        <w:spacing w:line="340" w:lineRule="exact"/>
        <w:textAlignment w:val="auto"/>
      </w:pPr>
    </w:p>
    <w:sectPr>
      <w:footerReference r:id="rId13"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12AF">
    <w:pPr>
      <w:pStyle w:val="26"/>
      <w:jc w:val="both"/>
      <w:rPr>
        <w:rFonts w:ascii="宋体"/>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596B0">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65596B0">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61825">
    <w:pPr>
      <w:pStyle w:val="26"/>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34937E">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A34937E">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6"/>
      <w:jc w:val="center"/>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04EE66B">
                    <w:pPr>
                      <w:pStyle w:val="2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D0D6F">
    <w:pPr>
      <w:pStyle w:val="2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4B662">
                          <w:pPr>
                            <w:pStyle w:val="26"/>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14B662">
                    <w:pPr>
                      <w:pStyle w:val="26"/>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6F743">
    <w:pPr>
      <w:pStyle w:val="2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8FE08">
                          <w:pPr>
                            <w:pStyle w:val="26"/>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A38FE08">
                    <w:pPr>
                      <w:pStyle w:val="26"/>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6"/>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5F319">
                          <w:pPr>
                            <w:pStyle w:val="26"/>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E95F319">
                    <w:pPr>
                      <w:pStyle w:val="26"/>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4AB43">
    <w:pPr>
      <w:pStyle w:val="28"/>
      <w:pBdr>
        <w:bottom w:val="none" w:color="auto" w:sz="0" w:space="1"/>
      </w:pBdr>
      <w:jc w:val="both"/>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8"/>
      <w:pBdr>
        <w:bottom w:val="none" w:color="auto" w:sz="0" w:space="1"/>
      </w:pBdr>
      <w:jc w:val="both"/>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BA161">
    <w:pPr>
      <w:pStyle w:val="28"/>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D2D580"/>
    <w:multiLevelType w:val="singleLevel"/>
    <w:tmpl w:val="A4D2D580"/>
    <w:lvl w:ilvl="0" w:tentative="0">
      <w:start w:val="2"/>
      <w:numFmt w:val="decimal"/>
      <w:lvlText w:val="%1."/>
      <w:lvlJc w:val="left"/>
      <w:pPr>
        <w:tabs>
          <w:tab w:val="left" w:pos="312"/>
        </w:tabs>
      </w:pPr>
    </w:lvl>
  </w:abstractNum>
  <w:abstractNum w:abstractNumId="1">
    <w:nsid w:val="C6D2B839"/>
    <w:multiLevelType w:val="singleLevel"/>
    <w:tmpl w:val="C6D2B839"/>
    <w:lvl w:ilvl="0" w:tentative="0">
      <w:start w:val="7"/>
      <w:numFmt w:val="chineseCounting"/>
      <w:suff w:val="nothing"/>
      <w:lvlText w:val="%1、"/>
      <w:lvlJc w:val="left"/>
      <w:rPr>
        <w:rFonts w:hint="eastAsia"/>
      </w:rPr>
    </w:lvl>
  </w:abstractNum>
  <w:abstractNum w:abstractNumId="2">
    <w:nsid w:val="FFEFC674"/>
    <w:multiLevelType w:val="singleLevel"/>
    <w:tmpl w:val="FFEFC674"/>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07"/>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233A"/>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177294"/>
    <w:rsid w:val="036E6CA6"/>
    <w:rsid w:val="03773C2D"/>
    <w:rsid w:val="058C5C9F"/>
    <w:rsid w:val="07C80EFB"/>
    <w:rsid w:val="08251EAA"/>
    <w:rsid w:val="08602EE2"/>
    <w:rsid w:val="08916AB3"/>
    <w:rsid w:val="09084174"/>
    <w:rsid w:val="09287EA3"/>
    <w:rsid w:val="0A7A13B6"/>
    <w:rsid w:val="0A903CFA"/>
    <w:rsid w:val="0A91481A"/>
    <w:rsid w:val="0BD378F6"/>
    <w:rsid w:val="0CC021A1"/>
    <w:rsid w:val="0D4E4A67"/>
    <w:rsid w:val="0DEF71E2"/>
    <w:rsid w:val="10E24D87"/>
    <w:rsid w:val="119A1F8D"/>
    <w:rsid w:val="11BC1998"/>
    <w:rsid w:val="13524CBA"/>
    <w:rsid w:val="13750D6C"/>
    <w:rsid w:val="137A57A0"/>
    <w:rsid w:val="13C347B9"/>
    <w:rsid w:val="13C54541"/>
    <w:rsid w:val="156A411C"/>
    <w:rsid w:val="16A92918"/>
    <w:rsid w:val="173B04EE"/>
    <w:rsid w:val="17D22769"/>
    <w:rsid w:val="18735030"/>
    <w:rsid w:val="18D92526"/>
    <w:rsid w:val="18FA2EDF"/>
    <w:rsid w:val="1A66331F"/>
    <w:rsid w:val="1AE70150"/>
    <w:rsid w:val="1AF95668"/>
    <w:rsid w:val="1CE22479"/>
    <w:rsid w:val="1E0104DD"/>
    <w:rsid w:val="1EA4741C"/>
    <w:rsid w:val="20344F28"/>
    <w:rsid w:val="20346CD6"/>
    <w:rsid w:val="206770AC"/>
    <w:rsid w:val="23241284"/>
    <w:rsid w:val="23530B29"/>
    <w:rsid w:val="23B21C79"/>
    <w:rsid w:val="262458BA"/>
    <w:rsid w:val="282F3B79"/>
    <w:rsid w:val="283C571B"/>
    <w:rsid w:val="291E2007"/>
    <w:rsid w:val="29543F45"/>
    <w:rsid w:val="29CF3D8B"/>
    <w:rsid w:val="2B7C7113"/>
    <w:rsid w:val="2CD32C5A"/>
    <w:rsid w:val="303F5ACB"/>
    <w:rsid w:val="30C62676"/>
    <w:rsid w:val="30D37E45"/>
    <w:rsid w:val="31BF072E"/>
    <w:rsid w:val="3251196A"/>
    <w:rsid w:val="340842AA"/>
    <w:rsid w:val="345352E6"/>
    <w:rsid w:val="35DA59F3"/>
    <w:rsid w:val="36797FCD"/>
    <w:rsid w:val="36962041"/>
    <w:rsid w:val="36D93CDC"/>
    <w:rsid w:val="37321D6A"/>
    <w:rsid w:val="37903539"/>
    <w:rsid w:val="37A20571"/>
    <w:rsid w:val="388A16E7"/>
    <w:rsid w:val="38F3153C"/>
    <w:rsid w:val="39F03816"/>
    <w:rsid w:val="3A2A31CC"/>
    <w:rsid w:val="3CC75F2B"/>
    <w:rsid w:val="3CF814E4"/>
    <w:rsid w:val="3D874491"/>
    <w:rsid w:val="3DD24BE8"/>
    <w:rsid w:val="3E350DFC"/>
    <w:rsid w:val="3F5D7BA0"/>
    <w:rsid w:val="40694322"/>
    <w:rsid w:val="418A33DF"/>
    <w:rsid w:val="435C016E"/>
    <w:rsid w:val="43880906"/>
    <w:rsid w:val="43964717"/>
    <w:rsid w:val="43BE3353"/>
    <w:rsid w:val="43ED325B"/>
    <w:rsid w:val="443D4540"/>
    <w:rsid w:val="45553AE5"/>
    <w:rsid w:val="45974888"/>
    <w:rsid w:val="47470D57"/>
    <w:rsid w:val="47D26073"/>
    <w:rsid w:val="47E75CBA"/>
    <w:rsid w:val="49E3541A"/>
    <w:rsid w:val="4A156F3B"/>
    <w:rsid w:val="4A225C6E"/>
    <w:rsid w:val="4B700D53"/>
    <w:rsid w:val="4BDA12B0"/>
    <w:rsid w:val="4D317F5A"/>
    <w:rsid w:val="4D3A7115"/>
    <w:rsid w:val="4D677E3B"/>
    <w:rsid w:val="51DD06CC"/>
    <w:rsid w:val="523429E2"/>
    <w:rsid w:val="536D2F2E"/>
    <w:rsid w:val="53F1220D"/>
    <w:rsid w:val="546D21DB"/>
    <w:rsid w:val="5658373F"/>
    <w:rsid w:val="566D6A2E"/>
    <w:rsid w:val="57346FE0"/>
    <w:rsid w:val="59157D59"/>
    <w:rsid w:val="591C7D2C"/>
    <w:rsid w:val="59B361F2"/>
    <w:rsid w:val="5A5F6122"/>
    <w:rsid w:val="5E677C9B"/>
    <w:rsid w:val="5EA70DDA"/>
    <w:rsid w:val="5ED7581E"/>
    <w:rsid w:val="5FC52ECB"/>
    <w:rsid w:val="60C63B32"/>
    <w:rsid w:val="61616A4B"/>
    <w:rsid w:val="629038C3"/>
    <w:rsid w:val="62D324BB"/>
    <w:rsid w:val="642A69CF"/>
    <w:rsid w:val="651A7A6A"/>
    <w:rsid w:val="65271F32"/>
    <w:rsid w:val="658F4499"/>
    <w:rsid w:val="66091AE9"/>
    <w:rsid w:val="68AB6E74"/>
    <w:rsid w:val="69056267"/>
    <w:rsid w:val="6942558D"/>
    <w:rsid w:val="6A2133F4"/>
    <w:rsid w:val="6A5F3B8A"/>
    <w:rsid w:val="6AC87D14"/>
    <w:rsid w:val="6B8B5E84"/>
    <w:rsid w:val="6BE0108D"/>
    <w:rsid w:val="6BF15048"/>
    <w:rsid w:val="6C320AC9"/>
    <w:rsid w:val="6C550632"/>
    <w:rsid w:val="6D263022"/>
    <w:rsid w:val="6E394B84"/>
    <w:rsid w:val="6F240401"/>
    <w:rsid w:val="6F6A75EB"/>
    <w:rsid w:val="73E01C2A"/>
    <w:rsid w:val="742915A0"/>
    <w:rsid w:val="744A3547"/>
    <w:rsid w:val="76764668"/>
    <w:rsid w:val="76D11EE8"/>
    <w:rsid w:val="774C5829"/>
    <w:rsid w:val="77893908"/>
    <w:rsid w:val="77E56B80"/>
    <w:rsid w:val="78526EF9"/>
    <w:rsid w:val="78A3591C"/>
    <w:rsid w:val="790E7239"/>
    <w:rsid w:val="79FB4EC7"/>
    <w:rsid w:val="7B5D1ADF"/>
    <w:rsid w:val="7B841A35"/>
    <w:rsid w:val="7C42088B"/>
    <w:rsid w:val="7CE63738"/>
    <w:rsid w:val="7D36737D"/>
    <w:rsid w:val="7D3D7B44"/>
    <w:rsid w:val="7E0155BF"/>
    <w:rsid w:val="7E835FD4"/>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3">
    <w:name w:val="heading 1"/>
    <w:basedOn w:val="1"/>
    <w:next w:val="1"/>
    <w:link w:val="59"/>
    <w:qFormat/>
    <w:uiPriority w:val="9"/>
    <w:pPr>
      <w:keepNext/>
      <w:keepLines/>
      <w:spacing w:before="340" w:after="330" w:line="578" w:lineRule="atLeast"/>
      <w:jc w:val="center"/>
      <w:outlineLvl w:val="0"/>
    </w:pPr>
    <w:rPr>
      <w:rFonts w:eastAsia="微软雅黑"/>
      <w:b/>
      <w:bCs/>
      <w:kern w:val="44"/>
      <w:sz w:val="32"/>
      <w:szCs w:val="44"/>
    </w:rPr>
  </w:style>
  <w:style w:type="paragraph" w:styleId="4">
    <w:name w:val="heading 2"/>
    <w:basedOn w:val="1"/>
    <w:next w:val="1"/>
    <w:link w:val="60"/>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5">
    <w:name w:val="heading 3"/>
    <w:basedOn w:val="1"/>
    <w:next w:val="1"/>
    <w:link w:val="61"/>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6">
    <w:name w:val="heading 4"/>
    <w:basedOn w:val="1"/>
    <w:next w:val="1"/>
    <w:link w:val="62"/>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7">
    <w:name w:val="heading 5"/>
    <w:basedOn w:val="1"/>
    <w:next w:val="1"/>
    <w:link w:val="63"/>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8">
    <w:name w:val="heading 6"/>
    <w:basedOn w:val="1"/>
    <w:next w:val="1"/>
    <w:link w:val="64"/>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9">
    <w:name w:val="heading 7"/>
    <w:basedOn w:val="1"/>
    <w:next w:val="1"/>
    <w:link w:val="65"/>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10">
    <w:name w:val="heading 8"/>
    <w:basedOn w:val="1"/>
    <w:next w:val="1"/>
    <w:link w:val="66"/>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1">
    <w:name w:val="heading 9"/>
    <w:basedOn w:val="1"/>
    <w:next w:val="1"/>
    <w:link w:val="67"/>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customStyle="1" w:styleId="2">
    <w:name w:val="正文 New"/>
    <w:basedOn w:val="1"/>
    <w:autoRedefine/>
    <w:qFormat/>
    <w:uiPriority w:val="0"/>
    <w:pPr>
      <w:spacing w:before="100" w:beforeAutospacing="1" w:after="100" w:afterAutospacing="1" w:line="440" w:lineRule="exact"/>
      <w:ind w:left="357" w:hanging="357"/>
    </w:pPr>
    <w:rPr>
      <w:szCs w:val="21"/>
    </w:rPr>
  </w:style>
  <w:style w:type="paragraph" w:styleId="12">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3">
    <w:name w:val="Normal Indent"/>
    <w:basedOn w:val="1"/>
    <w:link w:val="87"/>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4">
    <w:name w:val="annotation text"/>
    <w:basedOn w:val="1"/>
    <w:link w:val="125"/>
    <w:unhideWhenUsed/>
    <w:qFormat/>
    <w:uiPriority w:val="0"/>
    <w:pPr>
      <w:adjustRightInd/>
      <w:spacing w:line="500" w:lineRule="exact"/>
      <w:jc w:val="left"/>
    </w:pPr>
    <w:rPr>
      <w:sz w:val="20"/>
    </w:rPr>
  </w:style>
  <w:style w:type="paragraph" w:styleId="15">
    <w:name w:val="Body Text 3"/>
    <w:basedOn w:val="1"/>
    <w:link w:val="81"/>
    <w:semiHidden/>
    <w:unhideWhenUsed/>
    <w:qFormat/>
    <w:uiPriority w:val="99"/>
    <w:pPr>
      <w:spacing w:after="120"/>
    </w:pPr>
    <w:rPr>
      <w:sz w:val="16"/>
      <w:szCs w:val="16"/>
    </w:rPr>
  </w:style>
  <w:style w:type="paragraph" w:styleId="16">
    <w:name w:val="Body Text"/>
    <w:basedOn w:val="1"/>
    <w:link w:val="88"/>
    <w:autoRedefine/>
    <w:unhideWhenUsed/>
    <w:qFormat/>
    <w:uiPriority w:val="0"/>
    <w:pPr>
      <w:spacing w:after="120"/>
    </w:pPr>
  </w:style>
  <w:style w:type="paragraph" w:styleId="17">
    <w:name w:val="Body Text Indent"/>
    <w:basedOn w:val="1"/>
    <w:link w:val="71"/>
    <w:unhideWhenUsed/>
    <w:qFormat/>
    <w:uiPriority w:val="0"/>
    <w:pPr>
      <w:ind w:left="2730" w:hanging="2730" w:hangingChars="1365"/>
      <w:jc w:val="left"/>
    </w:pPr>
    <w:rPr>
      <w:sz w:val="20"/>
      <w:lang w:bidi="he-IL"/>
    </w:rPr>
  </w:style>
  <w:style w:type="paragraph" w:styleId="18">
    <w:name w:val="Block Text"/>
    <w:basedOn w:val="1"/>
    <w:autoRedefine/>
    <w:unhideWhenUsed/>
    <w:qFormat/>
    <w:uiPriority w:val="99"/>
    <w:pPr>
      <w:spacing w:after="120"/>
      <w:ind w:left="1440" w:leftChars="700" w:right="1440" w:rightChars="700"/>
    </w:pPr>
    <w:rPr>
      <w:szCs w:val="24"/>
    </w:rPr>
  </w:style>
  <w:style w:type="paragraph" w:styleId="19">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20">
    <w:name w:val="toc 3"/>
    <w:basedOn w:val="1"/>
    <w:next w:val="1"/>
    <w:autoRedefine/>
    <w:unhideWhenUsed/>
    <w:qFormat/>
    <w:uiPriority w:val="39"/>
    <w:pPr>
      <w:ind w:left="840" w:leftChars="400"/>
    </w:pPr>
  </w:style>
  <w:style w:type="paragraph" w:styleId="21">
    <w:name w:val="Plain Text"/>
    <w:basedOn w:val="1"/>
    <w:link w:val="126"/>
    <w:autoRedefine/>
    <w:qFormat/>
    <w:uiPriority w:val="0"/>
    <w:pPr>
      <w:textAlignment w:val="baseline"/>
    </w:pPr>
    <w:rPr>
      <w:rFonts w:ascii="宋体" w:hAnsi="Courier New"/>
    </w:rPr>
  </w:style>
  <w:style w:type="paragraph" w:styleId="22">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3">
    <w:name w:val="Date"/>
    <w:basedOn w:val="1"/>
    <w:next w:val="1"/>
    <w:link w:val="86"/>
    <w:autoRedefine/>
    <w:semiHidden/>
    <w:unhideWhenUsed/>
    <w:qFormat/>
    <w:uiPriority w:val="99"/>
    <w:pPr>
      <w:ind w:left="100" w:leftChars="2500"/>
    </w:pPr>
  </w:style>
  <w:style w:type="paragraph" w:styleId="24">
    <w:name w:val="Body Text Indent 2"/>
    <w:basedOn w:val="1"/>
    <w:link w:val="84"/>
    <w:autoRedefine/>
    <w:unhideWhenUsed/>
    <w:qFormat/>
    <w:uiPriority w:val="99"/>
    <w:pPr>
      <w:spacing w:after="120" w:line="480" w:lineRule="auto"/>
      <w:ind w:left="420" w:leftChars="200"/>
      <w:jc w:val="left"/>
    </w:pPr>
  </w:style>
  <w:style w:type="paragraph" w:styleId="25">
    <w:name w:val="Balloon Text"/>
    <w:basedOn w:val="1"/>
    <w:link w:val="70"/>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6">
    <w:name w:val="footer"/>
    <w:basedOn w:val="1"/>
    <w:link w:val="69"/>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7">
    <w:name w:val="envelope return"/>
    <w:basedOn w:val="1"/>
    <w:qFormat/>
    <w:uiPriority w:val="0"/>
    <w:pPr>
      <w:snapToGrid w:val="0"/>
    </w:pPr>
    <w:rPr>
      <w:rFonts w:ascii="Arial" w:hAnsi="Arial"/>
    </w:rPr>
  </w:style>
  <w:style w:type="paragraph" w:styleId="28">
    <w:name w:val="header"/>
    <w:basedOn w:val="1"/>
    <w:link w:val="68"/>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29">
    <w:name w:val="toc 1"/>
    <w:basedOn w:val="1"/>
    <w:next w:val="1"/>
    <w:autoRedefine/>
    <w:unhideWhenUsed/>
    <w:qFormat/>
    <w:uiPriority w:val="39"/>
  </w:style>
  <w:style w:type="paragraph" w:styleId="30">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1">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2">
    <w:name w:val="Body Text Indent 3"/>
    <w:basedOn w:val="1"/>
    <w:link w:val="136"/>
    <w:autoRedefine/>
    <w:semiHidden/>
    <w:unhideWhenUsed/>
    <w:qFormat/>
    <w:uiPriority w:val="99"/>
    <w:pPr>
      <w:spacing w:after="120"/>
      <w:ind w:left="420" w:leftChars="200"/>
    </w:pPr>
    <w:rPr>
      <w:sz w:val="16"/>
      <w:szCs w:val="16"/>
    </w:rPr>
  </w:style>
  <w:style w:type="paragraph" w:styleId="33">
    <w:name w:val="toc 2"/>
    <w:basedOn w:val="1"/>
    <w:next w:val="1"/>
    <w:autoRedefine/>
    <w:qFormat/>
    <w:uiPriority w:val="39"/>
    <w:pPr>
      <w:ind w:left="420" w:leftChars="200"/>
    </w:pPr>
  </w:style>
  <w:style w:type="paragraph" w:styleId="34">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5">
    <w:name w:val="Body Text 2"/>
    <w:basedOn w:val="1"/>
    <w:qFormat/>
    <w:uiPriority w:val="0"/>
    <w:pPr>
      <w:widowControl/>
      <w:jc w:val="center"/>
    </w:pPr>
    <w:rPr>
      <w:rFonts w:ascii="楷体_GB2312" w:eastAsia="楷体_GB2312"/>
      <w:sz w:val="20"/>
    </w:rPr>
  </w:style>
  <w:style w:type="paragraph" w:styleId="36">
    <w:name w:val="Message Header"/>
    <w:basedOn w:val="1"/>
    <w:next w:val="21"/>
    <w:link w:val="127"/>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7">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8">
    <w:name w:val="index 1"/>
    <w:basedOn w:val="1"/>
    <w:next w:val="1"/>
    <w:autoRedefine/>
    <w:qFormat/>
    <w:uiPriority w:val="0"/>
    <w:rPr>
      <w:rFonts w:ascii="仿宋_GB2312" w:hAnsi="宋体" w:eastAsia="仿宋_GB2312"/>
      <w:sz w:val="30"/>
      <w:szCs w:val="24"/>
    </w:rPr>
  </w:style>
  <w:style w:type="paragraph" w:styleId="39">
    <w:name w:val="Body Text First Indent"/>
    <w:basedOn w:val="16"/>
    <w:link w:val="95"/>
    <w:autoRedefine/>
    <w:unhideWhenUsed/>
    <w:qFormat/>
    <w:uiPriority w:val="99"/>
    <w:pPr>
      <w:ind w:firstLine="420" w:firstLineChars="100"/>
    </w:pPr>
  </w:style>
  <w:style w:type="paragraph" w:styleId="40">
    <w:name w:val="Body Text First Indent 2"/>
    <w:basedOn w:val="17"/>
    <w:next w:val="1"/>
    <w:link w:val="94"/>
    <w:unhideWhenUsed/>
    <w:qFormat/>
    <w:uiPriority w:val="0"/>
    <w:pPr>
      <w:adjustRightInd/>
      <w:spacing w:after="120" w:line="240" w:lineRule="auto"/>
      <w:ind w:left="420" w:leftChars="200" w:firstLine="420" w:firstLineChars="200"/>
      <w:jc w:val="both"/>
    </w:pPr>
    <w:rPr>
      <w:kern w:val="2"/>
      <w:sz w:val="21"/>
      <w:szCs w:val="24"/>
      <w:lang w:bidi="ar-SA"/>
    </w:rPr>
  </w:style>
  <w:style w:type="table" w:styleId="42">
    <w:name w:val="Table Grid"/>
    <w:basedOn w:val="4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autoRedefine/>
    <w:qFormat/>
    <w:uiPriority w:val="0"/>
    <w:rPr>
      <w:b/>
    </w:rPr>
  </w:style>
  <w:style w:type="character" w:styleId="45">
    <w:name w:val="FollowedHyperlink"/>
    <w:basedOn w:val="43"/>
    <w:autoRedefine/>
    <w:semiHidden/>
    <w:unhideWhenUsed/>
    <w:qFormat/>
    <w:uiPriority w:val="99"/>
    <w:rPr>
      <w:color w:val="954F72"/>
      <w:u w:val="single"/>
    </w:rPr>
  </w:style>
  <w:style w:type="character" w:styleId="46">
    <w:name w:val="HTML Definition"/>
    <w:basedOn w:val="43"/>
    <w:semiHidden/>
    <w:unhideWhenUsed/>
    <w:qFormat/>
    <w:uiPriority w:val="99"/>
  </w:style>
  <w:style w:type="character" w:styleId="47">
    <w:name w:val="HTML Typewriter"/>
    <w:basedOn w:val="43"/>
    <w:semiHidden/>
    <w:unhideWhenUsed/>
    <w:qFormat/>
    <w:uiPriority w:val="99"/>
    <w:rPr>
      <w:rFonts w:hint="default" w:ascii="monospace" w:hAnsi="monospace" w:eastAsia="monospace" w:cs="monospace"/>
      <w:sz w:val="20"/>
    </w:rPr>
  </w:style>
  <w:style w:type="character" w:styleId="48">
    <w:name w:val="HTML Acronym"/>
    <w:basedOn w:val="43"/>
    <w:semiHidden/>
    <w:unhideWhenUsed/>
    <w:qFormat/>
    <w:uiPriority w:val="99"/>
  </w:style>
  <w:style w:type="character" w:styleId="49">
    <w:name w:val="HTML Variable"/>
    <w:basedOn w:val="43"/>
    <w:semiHidden/>
    <w:unhideWhenUsed/>
    <w:qFormat/>
    <w:uiPriority w:val="99"/>
  </w:style>
  <w:style w:type="character" w:styleId="50">
    <w:name w:val="Hyperlink"/>
    <w:basedOn w:val="43"/>
    <w:autoRedefine/>
    <w:unhideWhenUsed/>
    <w:qFormat/>
    <w:uiPriority w:val="99"/>
    <w:rPr>
      <w:color w:val="0000FF" w:themeColor="hyperlink"/>
      <w:u w:val="single"/>
      <w14:textFill>
        <w14:solidFill>
          <w14:schemeClr w14:val="hlink"/>
        </w14:solidFill>
      </w14:textFill>
    </w:rPr>
  </w:style>
  <w:style w:type="character" w:styleId="51">
    <w:name w:val="HTML Code"/>
    <w:basedOn w:val="43"/>
    <w:semiHidden/>
    <w:unhideWhenUsed/>
    <w:qFormat/>
    <w:uiPriority w:val="99"/>
    <w:rPr>
      <w:rFonts w:ascii="monospace" w:hAnsi="monospace" w:eastAsia="monospace" w:cs="monospace"/>
      <w:sz w:val="20"/>
    </w:rPr>
  </w:style>
  <w:style w:type="character" w:styleId="52">
    <w:name w:val="annotation reference"/>
    <w:autoRedefine/>
    <w:semiHidden/>
    <w:qFormat/>
    <w:uiPriority w:val="0"/>
    <w:rPr>
      <w:sz w:val="21"/>
      <w:szCs w:val="21"/>
    </w:rPr>
  </w:style>
  <w:style w:type="character" w:styleId="53">
    <w:name w:val="HTML Cite"/>
    <w:basedOn w:val="43"/>
    <w:semiHidden/>
    <w:unhideWhenUsed/>
    <w:qFormat/>
    <w:uiPriority w:val="99"/>
  </w:style>
  <w:style w:type="character" w:styleId="54">
    <w:name w:val="footnote reference"/>
    <w:autoRedefine/>
    <w:qFormat/>
    <w:uiPriority w:val="0"/>
    <w:rPr>
      <w:vertAlign w:val="superscript"/>
    </w:rPr>
  </w:style>
  <w:style w:type="character" w:styleId="55">
    <w:name w:val="HTML Keyboard"/>
    <w:basedOn w:val="43"/>
    <w:semiHidden/>
    <w:unhideWhenUsed/>
    <w:qFormat/>
    <w:uiPriority w:val="99"/>
    <w:rPr>
      <w:rFonts w:hint="default" w:ascii="monospace" w:hAnsi="monospace" w:eastAsia="monospace" w:cs="monospace"/>
      <w:sz w:val="20"/>
    </w:rPr>
  </w:style>
  <w:style w:type="character" w:styleId="56">
    <w:name w:val="HTML Sample"/>
    <w:basedOn w:val="43"/>
    <w:semiHidden/>
    <w:unhideWhenUsed/>
    <w:qFormat/>
    <w:uiPriority w:val="99"/>
    <w:rPr>
      <w:rFonts w:hint="default" w:ascii="monospace" w:hAnsi="monospace" w:eastAsia="monospace" w:cs="monospace"/>
    </w:rPr>
  </w:style>
  <w:style w:type="paragraph" w:customStyle="1" w:styleId="57">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58">
    <w:name w:val="*正文"/>
    <w:basedOn w:val="13"/>
    <w:qFormat/>
    <w:uiPriority w:val="0"/>
    <w:pPr>
      <w:ind w:firstLine="200"/>
    </w:pPr>
    <w:rPr>
      <w:rFonts w:ascii="宋体" w:hAnsi="宋体" w:eastAsia="宋体" w:cs="Times New Roman"/>
      <w:color w:val="000000"/>
    </w:rPr>
  </w:style>
  <w:style w:type="character" w:customStyle="1" w:styleId="59">
    <w:name w:val="标题 1 字符"/>
    <w:basedOn w:val="43"/>
    <w:link w:val="3"/>
    <w:autoRedefine/>
    <w:qFormat/>
    <w:uiPriority w:val="9"/>
    <w:rPr>
      <w:rFonts w:ascii="Times New Roman" w:hAnsi="Times New Roman" w:eastAsia="微软雅黑" w:cs="Times New Roman"/>
      <w:b/>
      <w:bCs/>
      <w:kern w:val="44"/>
      <w:sz w:val="32"/>
      <w:szCs w:val="44"/>
    </w:rPr>
  </w:style>
  <w:style w:type="character" w:customStyle="1" w:styleId="60">
    <w:name w:val="标题 2 字符"/>
    <w:basedOn w:val="43"/>
    <w:link w:val="4"/>
    <w:autoRedefine/>
    <w:qFormat/>
    <w:uiPriority w:val="9"/>
    <w:rPr>
      <w:rFonts w:eastAsia="微软雅黑" w:asciiTheme="majorHAnsi" w:hAnsiTheme="majorHAnsi" w:cstheme="majorBidi"/>
      <w:b/>
      <w:bCs/>
      <w:kern w:val="0"/>
      <w:sz w:val="30"/>
      <w:szCs w:val="32"/>
    </w:rPr>
  </w:style>
  <w:style w:type="character" w:customStyle="1" w:styleId="61">
    <w:name w:val="标题 3 字符"/>
    <w:basedOn w:val="43"/>
    <w:link w:val="5"/>
    <w:autoRedefine/>
    <w:qFormat/>
    <w:uiPriority w:val="0"/>
    <w:rPr>
      <w:rFonts w:ascii="Times New Roman" w:hAnsi="Times New Roman" w:eastAsia="微软雅黑" w:cs="Times New Roman"/>
      <w:b/>
      <w:bCs/>
      <w:kern w:val="0"/>
      <w:sz w:val="28"/>
      <w:szCs w:val="32"/>
    </w:rPr>
  </w:style>
  <w:style w:type="character" w:customStyle="1" w:styleId="62">
    <w:name w:val="标题 4 字符"/>
    <w:basedOn w:val="43"/>
    <w:link w:val="6"/>
    <w:autoRedefine/>
    <w:qFormat/>
    <w:uiPriority w:val="9"/>
    <w:rPr>
      <w:rFonts w:eastAsia="微软雅黑" w:asciiTheme="majorHAnsi" w:hAnsiTheme="majorHAnsi" w:cstheme="majorBidi"/>
      <w:b/>
      <w:bCs/>
      <w:kern w:val="0"/>
      <w:sz w:val="24"/>
      <w:szCs w:val="28"/>
    </w:rPr>
  </w:style>
  <w:style w:type="character" w:customStyle="1" w:styleId="63">
    <w:name w:val="标题 5 字符"/>
    <w:basedOn w:val="43"/>
    <w:link w:val="7"/>
    <w:autoRedefine/>
    <w:qFormat/>
    <w:uiPriority w:val="9"/>
    <w:rPr>
      <w:rFonts w:ascii="Times New Roman" w:hAnsi="Times New Roman" w:eastAsia="宋体" w:cs="Times New Roman"/>
      <w:b/>
      <w:bCs/>
      <w:sz w:val="28"/>
      <w:szCs w:val="28"/>
    </w:rPr>
  </w:style>
  <w:style w:type="character" w:customStyle="1" w:styleId="64">
    <w:name w:val="标题 6 字符"/>
    <w:basedOn w:val="43"/>
    <w:link w:val="8"/>
    <w:autoRedefine/>
    <w:qFormat/>
    <w:uiPriority w:val="9"/>
    <w:rPr>
      <w:rFonts w:ascii="Arial" w:hAnsi="Arial" w:eastAsia="黑体" w:cs="Times New Roman"/>
      <w:b/>
      <w:bCs/>
      <w:sz w:val="24"/>
      <w:szCs w:val="24"/>
    </w:rPr>
  </w:style>
  <w:style w:type="character" w:customStyle="1" w:styleId="65">
    <w:name w:val="标题 7 字符"/>
    <w:basedOn w:val="43"/>
    <w:link w:val="9"/>
    <w:autoRedefine/>
    <w:qFormat/>
    <w:uiPriority w:val="0"/>
    <w:rPr>
      <w:rFonts w:ascii="Times New Roman" w:hAnsi="Times New Roman" w:eastAsia="宋体" w:cs="Times New Roman"/>
      <w:b/>
      <w:bCs/>
      <w:sz w:val="24"/>
      <w:szCs w:val="24"/>
    </w:rPr>
  </w:style>
  <w:style w:type="character" w:customStyle="1" w:styleId="66">
    <w:name w:val="标题 8 字符"/>
    <w:basedOn w:val="43"/>
    <w:link w:val="10"/>
    <w:autoRedefine/>
    <w:qFormat/>
    <w:uiPriority w:val="0"/>
    <w:rPr>
      <w:rFonts w:ascii="Arial" w:hAnsi="Arial" w:eastAsia="黑体" w:cs="Times New Roman"/>
      <w:sz w:val="24"/>
      <w:szCs w:val="24"/>
    </w:rPr>
  </w:style>
  <w:style w:type="character" w:customStyle="1" w:styleId="67">
    <w:name w:val="标题 9 字符"/>
    <w:basedOn w:val="43"/>
    <w:link w:val="11"/>
    <w:autoRedefine/>
    <w:qFormat/>
    <w:uiPriority w:val="9"/>
    <w:rPr>
      <w:rFonts w:ascii="Arial" w:hAnsi="Arial" w:eastAsia="黑体" w:cs="Times New Roman"/>
      <w:szCs w:val="21"/>
    </w:rPr>
  </w:style>
  <w:style w:type="character" w:customStyle="1" w:styleId="68">
    <w:name w:val="页眉 字符"/>
    <w:basedOn w:val="43"/>
    <w:link w:val="28"/>
    <w:autoRedefine/>
    <w:qFormat/>
    <w:uiPriority w:val="0"/>
    <w:rPr>
      <w:sz w:val="18"/>
      <w:szCs w:val="18"/>
    </w:rPr>
  </w:style>
  <w:style w:type="character" w:customStyle="1" w:styleId="69">
    <w:name w:val="页脚 字符"/>
    <w:basedOn w:val="43"/>
    <w:link w:val="26"/>
    <w:autoRedefine/>
    <w:qFormat/>
    <w:uiPriority w:val="0"/>
    <w:rPr>
      <w:sz w:val="18"/>
      <w:szCs w:val="18"/>
    </w:rPr>
  </w:style>
  <w:style w:type="character" w:customStyle="1" w:styleId="70">
    <w:name w:val="批注框文本 字符"/>
    <w:basedOn w:val="43"/>
    <w:link w:val="25"/>
    <w:autoRedefine/>
    <w:semiHidden/>
    <w:qFormat/>
    <w:uiPriority w:val="99"/>
    <w:rPr>
      <w:sz w:val="18"/>
      <w:szCs w:val="18"/>
    </w:rPr>
  </w:style>
  <w:style w:type="character" w:customStyle="1" w:styleId="71">
    <w:name w:val="正文文本缩进 字符"/>
    <w:basedOn w:val="43"/>
    <w:link w:val="17"/>
    <w:autoRedefine/>
    <w:qFormat/>
    <w:uiPriority w:val="0"/>
    <w:rPr>
      <w:rFonts w:ascii="Times New Roman" w:hAnsi="Times New Roman" w:eastAsia="宋体" w:cs="Times New Roman"/>
      <w:kern w:val="0"/>
      <w:sz w:val="20"/>
      <w:szCs w:val="20"/>
      <w:lang w:bidi="he-IL"/>
    </w:rPr>
  </w:style>
  <w:style w:type="paragraph" w:styleId="72">
    <w:name w:val="List Paragraph"/>
    <w:basedOn w:val="1"/>
    <w:link w:val="73"/>
    <w:autoRedefine/>
    <w:qFormat/>
    <w:uiPriority w:val="34"/>
    <w:pPr>
      <w:snapToGrid w:val="0"/>
      <w:spacing w:line="360" w:lineRule="auto"/>
      <w:jc w:val="left"/>
    </w:pPr>
    <w:rPr>
      <w:rFonts w:eastAsia="微软雅黑"/>
      <w:b/>
      <w:sz w:val="30"/>
    </w:rPr>
  </w:style>
  <w:style w:type="character" w:customStyle="1" w:styleId="73">
    <w:name w:val="列出段落 字符"/>
    <w:link w:val="72"/>
    <w:autoRedefine/>
    <w:qFormat/>
    <w:uiPriority w:val="34"/>
    <w:rPr>
      <w:rFonts w:ascii="Times New Roman" w:hAnsi="Times New Roman" w:eastAsia="微软雅黑" w:cs="Times New Roman"/>
      <w:b/>
      <w:kern w:val="0"/>
      <w:sz w:val="30"/>
      <w:szCs w:val="20"/>
    </w:rPr>
  </w:style>
  <w:style w:type="character" w:customStyle="1" w:styleId="74">
    <w:name w:val="不明显强调1"/>
    <w:basedOn w:val="43"/>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75">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76">
    <w:name w:val="TOC 标题1"/>
    <w:basedOn w:val="3"/>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77">
    <w:name w:val="Body text|1_"/>
    <w:link w:val="78"/>
    <w:autoRedefine/>
    <w:qFormat/>
    <w:uiPriority w:val="0"/>
    <w:rPr>
      <w:rFonts w:ascii="宋体" w:hAnsi="宋体" w:cs="宋体"/>
      <w:sz w:val="28"/>
      <w:szCs w:val="28"/>
      <w:lang w:val="zh-TW" w:eastAsia="zh-TW" w:bidi="zh-TW"/>
    </w:rPr>
  </w:style>
  <w:style w:type="paragraph" w:customStyle="1" w:styleId="78">
    <w:name w:val="Body text|1"/>
    <w:basedOn w:val="1"/>
    <w:link w:val="77"/>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9">
    <w:name w:val="Header or footer|1_"/>
    <w:link w:val="80"/>
    <w:autoRedefine/>
    <w:qFormat/>
    <w:uiPriority w:val="0"/>
    <w:rPr>
      <w:sz w:val="22"/>
      <w:lang w:val="zh-TW" w:eastAsia="zh-TW" w:bidi="zh-TW"/>
    </w:rPr>
  </w:style>
  <w:style w:type="paragraph" w:customStyle="1" w:styleId="80">
    <w:name w:val="Header or footer|1"/>
    <w:basedOn w:val="1"/>
    <w:link w:val="79"/>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81">
    <w:name w:val="正文文本 3 字符"/>
    <w:basedOn w:val="43"/>
    <w:link w:val="15"/>
    <w:autoRedefine/>
    <w:semiHidden/>
    <w:qFormat/>
    <w:uiPriority w:val="99"/>
    <w:rPr>
      <w:rFonts w:ascii="Times New Roman" w:hAnsi="Times New Roman" w:eastAsia="宋体" w:cs="Times New Roman"/>
      <w:kern w:val="0"/>
      <w:sz w:val="16"/>
      <w:szCs w:val="16"/>
    </w:rPr>
  </w:style>
  <w:style w:type="character" w:customStyle="1" w:styleId="82">
    <w:name w:val="fontstyle01"/>
    <w:basedOn w:val="43"/>
    <w:autoRedefine/>
    <w:qFormat/>
    <w:uiPriority w:val="0"/>
    <w:rPr>
      <w:rFonts w:hint="eastAsia" w:ascii="宋体" w:hAnsi="宋体" w:eastAsia="宋体"/>
      <w:color w:val="000000"/>
      <w:sz w:val="44"/>
      <w:szCs w:val="44"/>
    </w:rPr>
  </w:style>
  <w:style w:type="character" w:customStyle="1" w:styleId="83">
    <w:name w:val="fontstyle21"/>
    <w:basedOn w:val="43"/>
    <w:autoRedefine/>
    <w:qFormat/>
    <w:uiPriority w:val="0"/>
    <w:rPr>
      <w:rFonts w:hint="default" w:ascii="Wingdings-Regular" w:hAnsi="Wingdings-Regular"/>
      <w:color w:val="000000"/>
      <w:sz w:val="22"/>
      <w:szCs w:val="22"/>
    </w:rPr>
  </w:style>
  <w:style w:type="character" w:customStyle="1" w:styleId="84">
    <w:name w:val="正文文本缩进 2 字符"/>
    <w:basedOn w:val="43"/>
    <w:link w:val="24"/>
    <w:autoRedefine/>
    <w:qFormat/>
    <w:uiPriority w:val="99"/>
    <w:rPr>
      <w:rFonts w:ascii="Times New Roman" w:hAnsi="Times New Roman" w:eastAsia="宋体" w:cs="Times New Roman"/>
      <w:kern w:val="0"/>
      <w:szCs w:val="20"/>
    </w:rPr>
  </w:style>
  <w:style w:type="character" w:customStyle="1" w:styleId="85">
    <w:name w:val="Unresolved Mention"/>
    <w:basedOn w:val="43"/>
    <w:autoRedefine/>
    <w:semiHidden/>
    <w:unhideWhenUsed/>
    <w:qFormat/>
    <w:uiPriority w:val="99"/>
    <w:rPr>
      <w:color w:val="605E5C"/>
      <w:shd w:val="clear" w:color="auto" w:fill="E1DFDD"/>
    </w:rPr>
  </w:style>
  <w:style w:type="character" w:customStyle="1" w:styleId="86">
    <w:name w:val="日期 字符"/>
    <w:basedOn w:val="43"/>
    <w:link w:val="23"/>
    <w:autoRedefine/>
    <w:semiHidden/>
    <w:qFormat/>
    <w:uiPriority w:val="99"/>
    <w:rPr>
      <w:rFonts w:ascii="Times New Roman" w:hAnsi="Times New Roman" w:eastAsia="宋体" w:cs="Times New Roman"/>
      <w:kern w:val="0"/>
      <w:szCs w:val="20"/>
    </w:rPr>
  </w:style>
  <w:style w:type="character" w:customStyle="1" w:styleId="87">
    <w:name w:val="正文缩进 字符"/>
    <w:link w:val="13"/>
    <w:autoRedefine/>
    <w:qFormat/>
    <w:uiPriority w:val="0"/>
    <w:rPr>
      <w:rFonts w:ascii="宋体"/>
      <w:sz w:val="24"/>
    </w:rPr>
  </w:style>
  <w:style w:type="character" w:customStyle="1" w:styleId="88">
    <w:name w:val="正文文本 字符"/>
    <w:basedOn w:val="43"/>
    <w:link w:val="16"/>
    <w:autoRedefine/>
    <w:qFormat/>
    <w:uiPriority w:val="0"/>
    <w:rPr>
      <w:rFonts w:ascii="Times New Roman" w:hAnsi="Times New Roman" w:eastAsia="宋体" w:cs="Times New Roman"/>
      <w:kern w:val="0"/>
      <w:szCs w:val="20"/>
    </w:rPr>
  </w:style>
  <w:style w:type="paragraph" w:customStyle="1" w:styleId="89">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0">
    <w:name w:val="WPSOffice手动目录 1"/>
    <w:autoRedefine/>
    <w:qFormat/>
    <w:uiPriority w:val="0"/>
    <w:rPr>
      <w:rFonts w:ascii="Times New Roman" w:hAnsi="Times New Roman" w:eastAsia="宋体" w:cs="Times New Roman"/>
      <w:lang w:val="en-US" w:eastAsia="zh-CN" w:bidi="ar-SA"/>
    </w:rPr>
  </w:style>
  <w:style w:type="paragraph" w:customStyle="1" w:styleId="91">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2">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3">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94">
    <w:name w:val="正文首行缩进 2 字符"/>
    <w:basedOn w:val="71"/>
    <w:link w:val="40"/>
    <w:autoRedefine/>
    <w:qFormat/>
    <w:uiPriority w:val="0"/>
    <w:rPr>
      <w:rFonts w:ascii="Times New Roman" w:hAnsi="Times New Roman" w:eastAsia="宋体" w:cs="Times New Roman"/>
      <w:kern w:val="0"/>
      <w:sz w:val="20"/>
      <w:szCs w:val="24"/>
      <w:lang w:bidi="he-IL"/>
    </w:rPr>
  </w:style>
  <w:style w:type="character" w:customStyle="1" w:styleId="95">
    <w:name w:val="正文首行缩进 字符"/>
    <w:basedOn w:val="88"/>
    <w:link w:val="39"/>
    <w:autoRedefine/>
    <w:semiHidden/>
    <w:qFormat/>
    <w:uiPriority w:val="99"/>
    <w:rPr>
      <w:rFonts w:ascii="Times New Roman" w:hAnsi="Times New Roman" w:eastAsia="宋体" w:cs="Times New Roman"/>
      <w:kern w:val="0"/>
      <w:szCs w:val="20"/>
    </w:rPr>
  </w:style>
  <w:style w:type="paragraph" w:customStyle="1" w:styleId="96">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97">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8">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9">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0">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101">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2">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104">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5">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6">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107">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8">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9">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1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12">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13">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14">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15">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6">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17">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8">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9">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20">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1">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22">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3">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4">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25">
    <w:name w:val="批注文字 字符"/>
    <w:basedOn w:val="43"/>
    <w:link w:val="14"/>
    <w:autoRedefine/>
    <w:qFormat/>
    <w:uiPriority w:val="0"/>
    <w:rPr>
      <w:rFonts w:ascii="Times New Roman" w:hAnsi="Times New Roman" w:eastAsia="宋体" w:cs="Times New Roman"/>
      <w:kern w:val="0"/>
      <w:sz w:val="20"/>
      <w:szCs w:val="20"/>
    </w:rPr>
  </w:style>
  <w:style w:type="character" w:customStyle="1" w:styleId="126">
    <w:name w:val="纯文本 字符"/>
    <w:basedOn w:val="43"/>
    <w:link w:val="21"/>
    <w:autoRedefine/>
    <w:qFormat/>
    <w:uiPriority w:val="0"/>
    <w:rPr>
      <w:rFonts w:ascii="宋体" w:hAnsi="Courier New" w:eastAsia="宋体" w:cs="Times New Roman"/>
      <w:kern w:val="0"/>
      <w:szCs w:val="20"/>
    </w:rPr>
  </w:style>
  <w:style w:type="character" w:customStyle="1" w:styleId="127">
    <w:name w:val="信息标题 字符"/>
    <w:basedOn w:val="43"/>
    <w:link w:val="36"/>
    <w:autoRedefine/>
    <w:qFormat/>
    <w:uiPriority w:val="0"/>
    <w:rPr>
      <w:rFonts w:ascii="Cambria" w:hAnsi="Cambria" w:eastAsia="宋体" w:cs="Times New Roman"/>
      <w:sz w:val="24"/>
      <w:szCs w:val="20"/>
      <w:shd w:val="pct20" w:color="auto" w:fill="auto"/>
    </w:rPr>
  </w:style>
  <w:style w:type="character" w:customStyle="1" w:styleId="128">
    <w:name w:val="font41"/>
    <w:basedOn w:val="43"/>
    <w:autoRedefine/>
    <w:qFormat/>
    <w:uiPriority w:val="0"/>
    <w:rPr>
      <w:rFonts w:hint="eastAsia" w:ascii="黑体" w:eastAsia="黑体" w:cs="黑体"/>
      <w:color w:val="000000"/>
      <w:sz w:val="18"/>
      <w:szCs w:val="18"/>
      <w:u w:val="none"/>
    </w:rPr>
  </w:style>
  <w:style w:type="character" w:customStyle="1" w:styleId="129">
    <w:name w:val="font31"/>
    <w:basedOn w:val="43"/>
    <w:autoRedefine/>
    <w:qFormat/>
    <w:uiPriority w:val="0"/>
    <w:rPr>
      <w:rFonts w:hint="eastAsia" w:ascii="宋体" w:hAnsi="宋体" w:eastAsia="宋体" w:cs="宋体"/>
      <w:color w:val="000000"/>
      <w:sz w:val="18"/>
      <w:szCs w:val="18"/>
      <w:u w:val="none"/>
    </w:rPr>
  </w:style>
  <w:style w:type="character" w:customStyle="1" w:styleId="130">
    <w:name w:val="NormalCharacter"/>
    <w:autoRedefine/>
    <w:semiHidden/>
    <w:qFormat/>
    <w:uiPriority w:val="0"/>
    <w:rPr>
      <w:rFonts w:ascii="Calibri" w:hAnsi="Calibri" w:cs="新宋体"/>
      <w:b/>
      <w:bCs/>
      <w:kern w:val="2"/>
      <w:sz w:val="28"/>
      <w:szCs w:val="36"/>
      <w:lang w:val="en-US" w:eastAsia="zh-CN" w:bidi="ar-SA"/>
    </w:rPr>
  </w:style>
  <w:style w:type="character" w:customStyle="1" w:styleId="131">
    <w:name w:val="font11"/>
    <w:basedOn w:val="43"/>
    <w:autoRedefine/>
    <w:qFormat/>
    <w:uiPriority w:val="0"/>
    <w:rPr>
      <w:rFonts w:hint="eastAsia" w:ascii="宋体" w:hAnsi="宋体" w:eastAsia="宋体"/>
      <w:b/>
      <w:color w:val="000000"/>
      <w:kern w:val="2"/>
      <w:sz w:val="18"/>
      <w:u w:val="none"/>
    </w:rPr>
  </w:style>
  <w:style w:type="paragraph" w:customStyle="1" w:styleId="132">
    <w:name w:val="模板普通正文"/>
    <w:basedOn w:val="17"/>
    <w:autoRedefine/>
    <w:qFormat/>
    <w:uiPriority w:val="0"/>
    <w:pPr>
      <w:adjustRightInd/>
      <w:spacing w:beforeLines="50" w:after="10" w:line="240" w:lineRule="auto"/>
      <w:ind w:left="0" w:firstLine="490" w:firstLineChars="175"/>
    </w:pPr>
    <w:rPr>
      <w:kern w:val="2"/>
      <w:lang w:bidi="ar-SA"/>
    </w:rPr>
  </w:style>
  <w:style w:type="paragraph" w:customStyle="1" w:styleId="133">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34">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35">
    <w:name w:val="无间隔1"/>
    <w:autoRedefine/>
    <w:qFormat/>
    <w:uiPriority w:val="1"/>
    <w:rPr>
      <w:rFonts w:ascii="Calibri" w:hAnsi="Calibri" w:eastAsia="宋体" w:cs="黑体"/>
      <w:sz w:val="22"/>
      <w:szCs w:val="22"/>
      <w:lang w:val="en-US" w:eastAsia="zh-CN" w:bidi="ar-SA"/>
    </w:rPr>
  </w:style>
  <w:style w:type="character" w:customStyle="1" w:styleId="136">
    <w:name w:val="正文文本缩进 3 字符"/>
    <w:basedOn w:val="43"/>
    <w:link w:val="32"/>
    <w:autoRedefine/>
    <w:semiHidden/>
    <w:qFormat/>
    <w:uiPriority w:val="99"/>
    <w:rPr>
      <w:rFonts w:ascii="Times New Roman" w:hAnsi="Times New Roman" w:eastAsia="宋体" w:cs="Times New Roman"/>
      <w:kern w:val="0"/>
      <w:sz w:val="16"/>
      <w:szCs w:val="16"/>
    </w:rPr>
  </w:style>
  <w:style w:type="paragraph" w:customStyle="1" w:styleId="137">
    <w:name w:val="文本"/>
    <w:basedOn w:val="1"/>
    <w:link w:val="138"/>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8">
    <w:name w:val="文本 Char"/>
    <w:link w:val="137"/>
    <w:autoRedefine/>
    <w:qFormat/>
    <w:uiPriority w:val="0"/>
    <w:rPr>
      <w:rFonts w:ascii="仿宋_GB2312" w:hAnsi="Times New Roman" w:eastAsia="仿宋_GB2312" w:cs="Times New Roman"/>
      <w:sz w:val="24"/>
      <w:szCs w:val="24"/>
    </w:rPr>
  </w:style>
  <w:style w:type="paragraph" w:customStyle="1" w:styleId="139">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40">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41">
    <w:name w:val="D&amp;L"/>
    <w:basedOn w:val="28"/>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42">
    <w:name w:val="网格型1"/>
    <w:basedOn w:val="4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3">
    <w:name w:val="纯文本1"/>
    <w:basedOn w:val="1"/>
    <w:autoRedefine/>
    <w:qFormat/>
    <w:uiPriority w:val="0"/>
    <w:pPr>
      <w:adjustRightInd w:val="0"/>
      <w:textAlignment w:val="baseline"/>
    </w:pPr>
    <w:rPr>
      <w:rFonts w:ascii="宋体" w:hAnsi="宋体" w:eastAsia="楷体_GB2312" w:cs="宋体"/>
      <w:sz w:val="28"/>
    </w:rPr>
  </w:style>
  <w:style w:type="paragraph" w:customStyle="1" w:styleId="144">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5">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6">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47">
    <w:name w:val="列出段落1"/>
    <w:basedOn w:val="1"/>
    <w:autoRedefine/>
    <w:qFormat/>
    <w:uiPriority w:val="0"/>
    <w:pPr>
      <w:ind w:firstLine="420" w:firstLineChars="200"/>
    </w:pPr>
    <w:rPr>
      <w:szCs w:val="21"/>
    </w:rPr>
  </w:style>
  <w:style w:type="character" w:customStyle="1" w:styleId="148">
    <w:name w:val="font21"/>
    <w:basedOn w:val="43"/>
    <w:qFormat/>
    <w:uiPriority w:val="0"/>
    <w:rPr>
      <w:rFonts w:hint="eastAsia" w:ascii="微软雅黑" w:hAnsi="微软雅黑" w:eastAsia="微软雅黑" w:cs="微软雅黑"/>
      <w:b/>
      <w:bCs/>
      <w:color w:val="000000"/>
      <w:sz w:val="20"/>
      <w:szCs w:val="20"/>
      <w:u w:val="none"/>
    </w:rPr>
  </w:style>
  <w:style w:type="character" w:customStyle="1" w:styleId="149">
    <w:name w:val="font61"/>
    <w:basedOn w:val="43"/>
    <w:qFormat/>
    <w:uiPriority w:val="0"/>
    <w:rPr>
      <w:rFonts w:hint="eastAsia" w:ascii="宋体" w:hAnsi="宋体" w:eastAsia="宋体" w:cs="宋体"/>
      <w:color w:val="000000"/>
      <w:sz w:val="20"/>
      <w:szCs w:val="20"/>
      <w:u w:val="none"/>
    </w:rPr>
  </w:style>
  <w:style w:type="character" w:customStyle="1" w:styleId="150">
    <w:name w:val="first-child"/>
    <w:basedOn w:val="43"/>
    <w:qFormat/>
    <w:uiPriority w:val="0"/>
  </w:style>
  <w:style w:type="character" w:customStyle="1" w:styleId="151">
    <w:name w:val="layui-layer-tabnow"/>
    <w:basedOn w:val="43"/>
    <w:qFormat/>
    <w:uiPriority w:val="0"/>
    <w:rPr>
      <w:bdr w:val="single" w:color="CCCCCC" w:sz="6" w:space="0"/>
      <w:shd w:val="clear" w:fill="FFFFFF"/>
    </w:rPr>
  </w:style>
  <w:style w:type="paragraph" w:customStyle="1" w:styleId="152">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6.jpe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jpe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40</Pages>
  <Words>1506</Words>
  <Characters>1743</Characters>
  <Lines>29</Lines>
  <Paragraphs>8</Paragraphs>
  <TotalTime>2</TotalTime>
  <ScaleCrop>false</ScaleCrop>
  <LinksUpToDate>false</LinksUpToDate>
  <CharactersWithSpaces>1887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品诺酒店用品</cp:lastModifiedBy>
  <cp:lastPrinted>2022-08-19T09:30:00Z</cp:lastPrinted>
  <dcterms:modified xsi:type="dcterms:W3CDTF">2026-07-17T07:24:25Z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C77E0DAAB5BD4C7FA04AA5A1CA43ED4A_13</vt:lpwstr>
  </property>
  <property fmtid="{D5CDD505-2E9C-101B-9397-08002B2CF9AE}" pid="4" name="KSOTemplateDocerSaveRecord">
    <vt:lpwstr>eyJoZGlkIjoiNDFjNjc4MzM2NGNhOTY1ZjQ2ZmNmMWE4MmVlYzQxYjkiLCJ1c2VySWQiOiIzMDI1ODcyMjYifQ==</vt:lpwstr>
  </property>
</Properties>
</file>